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三河市文化广电和旅游局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部门</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部门</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部门</w:t>
      </w:r>
      <w:r>
        <w:rPr>
          <w:rFonts w:ascii="Times New Roman" w:hAnsi="Times New Roman" w:eastAsia="楷体_GB2312" w:cs="Times New Roman"/>
          <w:b/>
          <w:sz w:val="32"/>
          <w:szCs w:val="32"/>
        </w:rPr>
        <w:t>职责：</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（一）贯彻国家和省、市关于文化广电、旅游工作的方针、政策和法规，研究拟订我市文化广电、旅游工作方针、政策，并监督实施。</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（二）拟订全市文化广电、旅游事业发展规划并组织实施，推进文化广电、旅游领域的体制机制改革。</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（三）指导、管理全市文化广电、旅游事业，指导艺术创作与生产，推动各门类艺术的发展，管理全市性重大文化广电、旅游活动。</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（四）负责推动全市文化艺术领域的公共文化服务，规划、引导公共文化产品创新生产，指导市重点文化设施建设和基层文化设施建设。</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（五）指导、管理全市社会文化事业，指导图书馆、博物馆、文化馆（站）事业，繁荣群众文化生活。</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（六）拟订全市非物质文化遗产保护规划及规定，组织实施非物质文化遗产保护和优秀民族文化的传承普及工作。</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（七）拟订全市文化市场发展规划，并组织实施。</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（八）拟订全市文化艺术、广播电视、旅游产业发展规划，指导、协调文化艺术、广播电视、旅游产业发展，推进对外文化产业交流与合作。</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（九）拟定全市文物和博物馆事业发展规划；负责组织全市文物资源的调查、勘探、发掘、保护、开发和利用；组织指导文物保护宣传工作；拟订文物保护制度和办法并负责督促检查。</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（十）拟定全市文化广电、旅游科技发展规划并监督实施，推进文化广电、旅游科技信息建设。</w:t>
      </w:r>
    </w:p>
    <w:p>
      <w:pPr>
        <w:spacing w:line="600" w:lineRule="exact"/>
        <w:ind w:firstLine="480" w:firstLineChars="150"/>
        <w:rPr>
          <w:rFonts w:hint="eastAsia" w:ascii="仿宋" w:hAnsi="仿宋" w:eastAsia="仿宋"/>
          <w:sz w:val="32"/>
          <w:szCs w:val="32"/>
        </w:rPr>
      </w:pPr>
      <w:r>
        <w:rPr>
          <w:rFonts w:hint="eastAsia" w:ascii="仿宋_GB2312" w:hAnsi="宋体" w:eastAsia="仿宋_GB2312"/>
          <w:sz w:val="32"/>
          <w:szCs w:val="32"/>
        </w:rPr>
        <w:t>（十一）</w:t>
      </w:r>
      <w:r>
        <w:rPr>
          <w:rFonts w:hint="eastAsia" w:ascii="仿宋" w:hAnsi="仿宋" w:eastAsia="仿宋"/>
          <w:sz w:val="32"/>
          <w:szCs w:val="32"/>
        </w:rPr>
        <w:t>指导协调广播电视全市性重大宣传活动。负责对全市广播电视机构进行业务指导和行业监管，监管全市广播电视节目、网络视听节目和公共视听载体播放的视听节目，会同有关部门对全市网络视听节目服务机构进行管理，指导、监管全市广播电视广告播放。</w:t>
      </w:r>
    </w:p>
    <w:p>
      <w:pPr>
        <w:ind w:firstLine="480" w:firstLineChars="150"/>
        <w:rPr>
          <w:rFonts w:hint="eastAsia" w:ascii="仿宋" w:hAnsi="仿宋" w:eastAsia="仿宋"/>
          <w:sz w:val="32"/>
          <w:szCs w:val="32"/>
        </w:rPr>
      </w:pPr>
      <w:r>
        <w:rPr>
          <w:rFonts w:hint="eastAsia" w:ascii="仿宋_GB2312" w:hAnsi="宋体" w:eastAsia="仿宋_GB2312"/>
          <w:sz w:val="32"/>
          <w:szCs w:val="32"/>
        </w:rPr>
        <w:t>（十二）</w:t>
      </w:r>
      <w:r>
        <w:rPr>
          <w:rFonts w:hint="eastAsia" w:ascii="仿宋" w:hAnsi="仿宋" w:eastAsia="仿宋"/>
          <w:sz w:val="32"/>
          <w:szCs w:val="32"/>
        </w:rPr>
        <w:t>指导和监管全市广播电视重点基础设施建设。指导、推进全市广播电视领域体制机制改革。组织实施全市广播电视公共服务重大公益工程和公益活动，负责推进广播电视与新媒体新技术新业态融合发展，推进广电网与电信网、互联网三网融合，促进智慧广电发展。</w:t>
      </w:r>
    </w:p>
    <w:p>
      <w:pPr>
        <w:ind w:firstLine="480" w:firstLineChars="150"/>
        <w:rPr>
          <w:rFonts w:hint="eastAsia" w:ascii="仿宋" w:hAnsi="仿宋" w:eastAsia="仿宋"/>
          <w:sz w:val="32"/>
          <w:szCs w:val="32"/>
        </w:rPr>
      </w:pPr>
      <w:r>
        <w:rPr>
          <w:rFonts w:hint="eastAsia" w:ascii="仿宋" w:hAnsi="仿宋" w:eastAsia="仿宋"/>
          <w:sz w:val="32"/>
          <w:szCs w:val="32"/>
        </w:rPr>
        <w:t>（十三）负责对全市广播电视节目传输覆盖、监听、监看、监测的监管，推进全市应急广播体系建设，监管协调调度全市广播电视安全播出。负责全市广播电视统计工作。</w:t>
      </w:r>
    </w:p>
    <w:p>
      <w:pPr>
        <w:spacing w:line="600" w:lineRule="exact"/>
        <w:ind w:firstLine="480" w:firstLineChars="150"/>
        <w:rPr>
          <w:rFonts w:hint="eastAsia" w:ascii="仿宋" w:hAnsi="仿宋" w:eastAsia="仿宋"/>
          <w:sz w:val="32"/>
          <w:szCs w:val="32"/>
        </w:rPr>
      </w:pPr>
      <w:r>
        <w:rPr>
          <w:rFonts w:hint="eastAsia" w:ascii="仿宋" w:hAnsi="仿宋" w:eastAsia="仿宋"/>
          <w:sz w:val="32"/>
          <w:szCs w:val="32"/>
        </w:rPr>
        <w:t>（十四）指导全市文化市场综合执法。组织查处全市性、跨区域文化、文物、广播电视、旅游等市场的违法行为，督查督办大案要案，维护市场秩序。</w:t>
      </w:r>
    </w:p>
    <w:p>
      <w:pPr>
        <w:ind w:firstLine="640" w:firstLineChars="200"/>
        <w:rPr>
          <w:rFonts w:hint="eastAsia" w:ascii="仿宋" w:hAnsi="仿宋" w:eastAsia="仿宋"/>
          <w:sz w:val="32"/>
          <w:szCs w:val="32"/>
        </w:rPr>
      </w:pPr>
      <w:r>
        <w:rPr>
          <w:rFonts w:hint="eastAsia" w:ascii="仿宋_GB2312" w:eastAsia="仿宋_GB2312"/>
          <w:kern w:val="0"/>
          <w:sz w:val="32"/>
          <w:szCs w:val="32"/>
        </w:rPr>
        <w:t>(十五)</w:t>
      </w:r>
      <w:r>
        <w:rPr>
          <w:rFonts w:hint="eastAsia" w:ascii="仿宋" w:hAnsi="仿宋" w:eastAsia="仿宋"/>
          <w:sz w:val="32"/>
          <w:szCs w:val="32"/>
        </w:rPr>
        <w:t>指导、管理全市文化、旅游、广播电视、文物领域对外交流、合作和宣传、推广工作。组织大型文化和旅游对外及对港澳台交流活动，推动中华文化和三河特色文化走出去。</w:t>
      </w:r>
    </w:p>
    <w:p>
      <w:pPr>
        <w:ind w:firstLine="480" w:firstLineChars="150"/>
        <w:rPr>
          <w:rFonts w:hint="eastAsia" w:ascii="仿宋" w:hAnsi="仿宋" w:eastAsia="仿宋"/>
          <w:sz w:val="32"/>
          <w:szCs w:val="32"/>
        </w:rPr>
      </w:pPr>
      <w:r>
        <w:rPr>
          <w:rFonts w:hint="eastAsia" w:ascii="仿宋" w:hAnsi="仿宋" w:eastAsia="仿宋"/>
          <w:sz w:val="32"/>
          <w:szCs w:val="32"/>
        </w:rPr>
        <w:t>（十六）负责本系统和本部门职责范围内安全生产工作。</w:t>
      </w:r>
    </w:p>
    <w:p>
      <w:pPr>
        <w:ind w:firstLine="480" w:firstLineChars="150"/>
        <w:rPr>
          <w:rFonts w:hint="eastAsia" w:ascii="仿宋_GB2312" w:eastAsia="仿宋_GB2312"/>
          <w:kern w:val="0"/>
          <w:sz w:val="32"/>
          <w:szCs w:val="32"/>
        </w:rPr>
      </w:pPr>
      <w:r>
        <w:rPr>
          <w:rFonts w:hint="eastAsia" w:ascii="仿宋" w:hAnsi="仿宋" w:eastAsia="仿宋"/>
          <w:sz w:val="32"/>
          <w:szCs w:val="32"/>
        </w:rPr>
        <w:t>（十七）</w:t>
      </w:r>
      <w:r>
        <w:rPr>
          <w:rFonts w:hint="eastAsia" w:ascii="仿宋_GB2312" w:eastAsia="仿宋_GB2312"/>
          <w:kern w:val="0"/>
          <w:sz w:val="32"/>
          <w:szCs w:val="32"/>
        </w:rPr>
        <w:t>完成市委、市政府交办的其他</w:t>
      </w:r>
      <w:r>
        <w:rPr>
          <w:rFonts w:hint="eastAsia" w:ascii="仿宋_GB2312" w:eastAsia="仿宋_GB2312"/>
          <w:kern w:val="0"/>
          <w:sz w:val="32"/>
          <w:szCs w:val="32"/>
          <w:lang w:eastAsia="zh-CN"/>
        </w:rPr>
        <w:t>任务</w:t>
      </w:r>
      <w:r>
        <w:rPr>
          <w:rFonts w:hint="eastAsia" w:ascii="仿宋_GB2312" w:eastAsia="仿宋_GB2312"/>
          <w:kern w:val="0"/>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30"/>
        <w:gridCol w:w="1973"/>
        <w:gridCol w:w="1190"/>
        <w:gridCol w:w="3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tblHeader/>
          <w:jc w:val="center"/>
        </w:trPr>
        <w:tc>
          <w:tcPr>
            <w:tcW w:w="3230" w:type="dxa"/>
            <w:vMerge w:val="restart"/>
            <w:noWrap w:val="0"/>
            <w:vAlign w:val="center"/>
          </w:tcPr>
          <w:p>
            <w:pPr>
              <w:spacing w:line="520" w:lineRule="exact"/>
              <w:jc w:val="center"/>
              <w:rPr>
                <w:rFonts w:eastAsia="方正书宋_GBK"/>
                <w:b/>
                <w:color w:val="auto"/>
              </w:rPr>
            </w:pPr>
            <w:r>
              <w:rPr>
                <w:rFonts w:eastAsia="方正书宋_GBK"/>
                <w:b/>
                <w:color w:val="auto"/>
              </w:rPr>
              <w:t>单位名称</w:t>
            </w:r>
          </w:p>
        </w:tc>
        <w:tc>
          <w:tcPr>
            <w:tcW w:w="1973" w:type="dxa"/>
            <w:vMerge w:val="restart"/>
            <w:noWrap w:val="0"/>
            <w:vAlign w:val="center"/>
          </w:tcPr>
          <w:p>
            <w:pPr>
              <w:spacing w:line="520" w:lineRule="exact"/>
              <w:jc w:val="center"/>
              <w:rPr>
                <w:rFonts w:eastAsia="方正书宋_GBK"/>
                <w:b/>
                <w:color w:val="auto"/>
              </w:rPr>
            </w:pPr>
            <w:r>
              <w:rPr>
                <w:rFonts w:eastAsia="方正书宋_GBK"/>
                <w:b/>
                <w:color w:val="auto"/>
              </w:rPr>
              <w:t>单位性质</w:t>
            </w:r>
          </w:p>
        </w:tc>
        <w:tc>
          <w:tcPr>
            <w:tcW w:w="1190" w:type="dxa"/>
            <w:vMerge w:val="restart"/>
            <w:noWrap w:val="0"/>
            <w:vAlign w:val="center"/>
          </w:tcPr>
          <w:p>
            <w:pPr>
              <w:spacing w:line="520" w:lineRule="exact"/>
              <w:jc w:val="center"/>
              <w:rPr>
                <w:rFonts w:eastAsia="方正书宋_GBK"/>
                <w:b/>
                <w:color w:val="auto"/>
              </w:rPr>
            </w:pPr>
            <w:r>
              <w:rPr>
                <w:rFonts w:eastAsia="方正书宋_GBK"/>
                <w:b/>
                <w:color w:val="auto"/>
              </w:rPr>
              <w:t>单位规格</w:t>
            </w:r>
          </w:p>
        </w:tc>
        <w:tc>
          <w:tcPr>
            <w:tcW w:w="3011" w:type="dxa"/>
            <w:vMerge w:val="restart"/>
            <w:noWrap w:val="0"/>
            <w:vAlign w:val="center"/>
          </w:tcPr>
          <w:p>
            <w:pPr>
              <w:spacing w:line="520" w:lineRule="exact"/>
              <w:jc w:val="center"/>
              <w:rPr>
                <w:rFonts w:eastAsia="方正书宋_GBK"/>
                <w:b/>
                <w:color w:val="auto"/>
              </w:rPr>
            </w:pPr>
            <w:r>
              <w:rPr>
                <w:rFonts w:eastAsia="方正书宋_GBK"/>
                <w:b/>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230" w:type="dxa"/>
            <w:vMerge w:val="continue"/>
            <w:noWrap w:val="0"/>
            <w:vAlign w:val="center"/>
          </w:tcPr>
          <w:p>
            <w:pPr>
              <w:spacing w:line="520" w:lineRule="exact"/>
              <w:jc w:val="left"/>
              <w:outlineLvl w:val="0"/>
              <w:rPr>
                <w:color w:val="auto"/>
              </w:rPr>
            </w:pPr>
          </w:p>
        </w:tc>
        <w:tc>
          <w:tcPr>
            <w:tcW w:w="1973" w:type="dxa"/>
            <w:vMerge w:val="continue"/>
            <w:noWrap w:val="0"/>
            <w:vAlign w:val="center"/>
          </w:tcPr>
          <w:p>
            <w:pPr>
              <w:spacing w:line="520" w:lineRule="exact"/>
              <w:jc w:val="left"/>
              <w:outlineLvl w:val="0"/>
              <w:rPr>
                <w:color w:val="auto"/>
              </w:rPr>
            </w:pPr>
          </w:p>
        </w:tc>
        <w:tc>
          <w:tcPr>
            <w:tcW w:w="1190" w:type="dxa"/>
            <w:vMerge w:val="continue"/>
            <w:noWrap w:val="0"/>
            <w:vAlign w:val="center"/>
          </w:tcPr>
          <w:p>
            <w:pPr>
              <w:spacing w:line="520" w:lineRule="exact"/>
              <w:jc w:val="left"/>
              <w:outlineLvl w:val="0"/>
              <w:rPr>
                <w:color w:val="auto"/>
              </w:rPr>
            </w:pPr>
          </w:p>
        </w:tc>
        <w:tc>
          <w:tcPr>
            <w:tcW w:w="3011" w:type="dxa"/>
            <w:vMerge w:val="continue"/>
            <w:noWrap w:val="0"/>
            <w:vAlign w:val="center"/>
          </w:tcPr>
          <w:p>
            <w:pPr>
              <w:spacing w:line="520" w:lineRule="exact"/>
              <w:jc w:val="left"/>
              <w:outlineLvl w:val="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3230" w:type="dxa"/>
            <w:noWrap w:val="0"/>
            <w:vAlign w:val="center"/>
          </w:tcPr>
          <w:p>
            <w:pPr>
              <w:spacing w:line="520" w:lineRule="exact"/>
              <w:jc w:val="left"/>
              <w:rPr>
                <w:rFonts w:hint="eastAsia" w:ascii="宋体" w:hAnsi="宋体" w:eastAsia="宋体" w:cs="宋体"/>
                <w:color w:val="auto"/>
              </w:rPr>
            </w:pPr>
            <w:r>
              <w:rPr>
                <w:rFonts w:hint="eastAsia" w:ascii="宋体" w:hAnsi="宋体" w:eastAsia="宋体" w:cs="宋体"/>
                <w:color w:val="auto"/>
                <w:lang w:eastAsia="zh-CN"/>
              </w:rPr>
              <w:t>三河市文化广电和旅游</w:t>
            </w:r>
            <w:r>
              <w:rPr>
                <w:rFonts w:hint="eastAsia" w:ascii="宋体" w:hAnsi="宋体" w:eastAsia="宋体" w:cs="宋体"/>
                <w:color w:val="auto"/>
              </w:rPr>
              <w:t>局(机关)</w:t>
            </w:r>
          </w:p>
        </w:tc>
        <w:tc>
          <w:tcPr>
            <w:tcW w:w="1973"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行政</w:t>
            </w:r>
          </w:p>
        </w:tc>
        <w:tc>
          <w:tcPr>
            <w:tcW w:w="1190"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正科级</w:t>
            </w:r>
          </w:p>
        </w:tc>
        <w:tc>
          <w:tcPr>
            <w:tcW w:w="3011"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3230" w:type="dxa"/>
            <w:noWrap w:val="0"/>
            <w:vAlign w:val="center"/>
          </w:tcPr>
          <w:p>
            <w:pPr>
              <w:spacing w:line="520" w:lineRule="exact"/>
              <w:jc w:val="left"/>
              <w:rPr>
                <w:rFonts w:hint="eastAsia" w:ascii="宋体" w:hAnsi="宋体" w:eastAsia="宋体" w:cs="宋体"/>
                <w:color w:val="auto"/>
                <w:lang w:eastAsia="zh-CN"/>
              </w:rPr>
            </w:pPr>
            <w:r>
              <w:rPr>
                <w:rFonts w:hint="eastAsia" w:ascii="宋体" w:hAnsi="宋体" w:cs="宋体"/>
                <w:color w:val="auto"/>
                <w:lang w:eastAsia="zh-CN"/>
              </w:rPr>
              <w:t>河北省</w:t>
            </w:r>
            <w:r>
              <w:rPr>
                <w:rFonts w:hint="eastAsia" w:ascii="宋体" w:hAnsi="宋体" w:eastAsia="宋体" w:cs="宋体"/>
                <w:color w:val="auto"/>
                <w:lang w:eastAsia="zh-CN"/>
              </w:rPr>
              <w:t>三河市图书馆</w:t>
            </w:r>
          </w:p>
        </w:tc>
        <w:tc>
          <w:tcPr>
            <w:tcW w:w="1973" w:type="dxa"/>
            <w:noWrap w:val="0"/>
            <w:vAlign w:val="center"/>
          </w:tcPr>
          <w:p>
            <w:pPr>
              <w:spacing w:line="520" w:lineRule="exact"/>
              <w:jc w:val="center"/>
              <w:rPr>
                <w:rFonts w:hint="eastAsia" w:ascii="宋体" w:hAnsi="宋体" w:eastAsia="宋体" w:cs="宋体"/>
                <w:color w:val="auto"/>
                <w:lang w:eastAsia="zh-CN"/>
              </w:rPr>
            </w:pPr>
            <w:r>
              <w:rPr>
                <w:rFonts w:hint="eastAsia" w:ascii="宋体" w:hAnsi="宋体" w:eastAsia="宋体" w:cs="宋体"/>
                <w:color w:val="auto"/>
                <w:lang w:eastAsia="zh-CN"/>
              </w:rPr>
              <w:t>事业</w:t>
            </w:r>
          </w:p>
        </w:tc>
        <w:tc>
          <w:tcPr>
            <w:tcW w:w="1190" w:type="dxa"/>
            <w:noWrap w:val="0"/>
            <w:vAlign w:val="center"/>
          </w:tcPr>
          <w:p>
            <w:pPr>
              <w:spacing w:line="520" w:lineRule="exact"/>
              <w:ind w:firstLine="210" w:firstLineChars="100"/>
              <w:jc w:val="both"/>
              <w:rPr>
                <w:rFonts w:hint="eastAsia" w:ascii="宋体" w:hAnsi="宋体" w:eastAsia="宋体" w:cs="宋体"/>
                <w:color w:val="auto"/>
                <w:lang w:eastAsia="zh-CN"/>
              </w:rPr>
            </w:pPr>
            <w:r>
              <w:rPr>
                <w:rFonts w:hint="eastAsia" w:ascii="宋体" w:hAnsi="宋体" w:eastAsia="宋体" w:cs="宋体"/>
                <w:color w:val="auto"/>
                <w:lang w:eastAsia="zh-CN"/>
              </w:rPr>
              <w:t>股级</w:t>
            </w:r>
          </w:p>
        </w:tc>
        <w:tc>
          <w:tcPr>
            <w:tcW w:w="3011" w:type="dxa"/>
            <w:noWrap w:val="0"/>
            <w:vAlign w:val="center"/>
          </w:tcPr>
          <w:p>
            <w:pPr>
              <w:spacing w:line="520" w:lineRule="exact"/>
              <w:jc w:val="center"/>
              <w:rPr>
                <w:rFonts w:hint="eastAsia" w:ascii="宋体" w:hAnsi="宋体" w:eastAsia="宋体" w:cs="宋体"/>
                <w:color w:val="auto"/>
                <w:lang w:eastAsia="zh-CN"/>
              </w:rPr>
            </w:pPr>
            <w:r>
              <w:rPr>
                <w:rFonts w:hint="eastAsia" w:ascii="宋体" w:hAnsi="宋体" w:eastAsia="宋体" w:cs="宋体"/>
                <w:color w:val="auto"/>
                <w:lang w:eastAsia="zh-CN"/>
              </w:rPr>
              <w:t>财政性资金基金保证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3230" w:type="dxa"/>
            <w:noWrap w:val="0"/>
            <w:vAlign w:val="center"/>
          </w:tcPr>
          <w:p>
            <w:pPr>
              <w:spacing w:line="520" w:lineRule="exact"/>
              <w:jc w:val="left"/>
              <w:rPr>
                <w:rFonts w:hint="eastAsia" w:ascii="宋体" w:hAnsi="宋体" w:eastAsia="宋体" w:cs="宋体"/>
                <w:color w:val="auto"/>
                <w:lang w:eastAsia="zh-CN"/>
              </w:rPr>
            </w:pPr>
            <w:r>
              <w:rPr>
                <w:rFonts w:hint="eastAsia" w:ascii="宋体" w:hAnsi="宋体" w:cs="宋体"/>
                <w:color w:val="auto"/>
                <w:lang w:eastAsia="zh-CN"/>
              </w:rPr>
              <w:t>河北省</w:t>
            </w:r>
            <w:bookmarkStart w:id="3" w:name="_GoBack"/>
            <w:bookmarkEnd w:id="3"/>
            <w:r>
              <w:rPr>
                <w:rFonts w:hint="eastAsia" w:ascii="宋体" w:hAnsi="宋体" w:eastAsia="宋体" w:cs="宋体"/>
                <w:color w:val="auto"/>
                <w:lang w:eastAsia="zh-CN"/>
              </w:rPr>
              <w:t>三河市文化馆</w:t>
            </w:r>
          </w:p>
        </w:tc>
        <w:tc>
          <w:tcPr>
            <w:tcW w:w="1973" w:type="dxa"/>
            <w:noWrap w:val="0"/>
            <w:vAlign w:val="center"/>
          </w:tcPr>
          <w:p>
            <w:pPr>
              <w:spacing w:line="520" w:lineRule="exact"/>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eastAsia="zh-CN"/>
              </w:rPr>
              <w:t>事业</w:t>
            </w:r>
          </w:p>
        </w:tc>
        <w:tc>
          <w:tcPr>
            <w:tcW w:w="1190" w:type="dxa"/>
            <w:noWrap w:val="0"/>
            <w:vAlign w:val="center"/>
          </w:tcPr>
          <w:p>
            <w:pPr>
              <w:spacing w:line="520" w:lineRule="exact"/>
              <w:ind w:firstLine="210" w:firstLineChars="100"/>
              <w:jc w:val="both"/>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eastAsia="zh-CN"/>
              </w:rPr>
              <w:t>股级</w:t>
            </w:r>
          </w:p>
        </w:tc>
        <w:tc>
          <w:tcPr>
            <w:tcW w:w="3011" w:type="dxa"/>
            <w:noWrap w:val="0"/>
            <w:vAlign w:val="center"/>
          </w:tcPr>
          <w:p>
            <w:pPr>
              <w:spacing w:line="520" w:lineRule="exact"/>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eastAsia="zh-CN"/>
              </w:rPr>
              <w:t>财政性资金基金保证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3230" w:type="dxa"/>
            <w:noWrap w:val="0"/>
            <w:vAlign w:val="center"/>
          </w:tcPr>
          <w:p>
            <w:pPr>
              <w:spacing w:line="520" w:lineRule="exact"/>
              <w:jc w:val="left"/>
              <w:rPr>
                <w:rFonts w:hint="eastAsia" w:ascii="宋体" w:hAnsi="宋体" w:eastAsia="宋体" w:cs="宋体"/>
                <w:color w:val="auto"/>
                <w:lang w:eastAsia="zh-CN"/>
              </w:rPr>
            </w:pPr>
            <w:r>
              <w:rPr>
                <w:rFonts w:hint="eastAsia" w:ascii="宋体" w:hAnsi="宋体" w:eastAsia="宋体" w:cs="宋体"/>
                <w:color w:val="auto"/>
                <w:lang w:eastAsia="zh-CN"/>
              </w:rPr>
              <w:t>三河市文物管理所</w:t>
            </w:r>
          </w:p>
        </w:tc>
        <w:tc>
          <w:tcPr>
            <w:tcW w:w="1973" w:type="dxa"/>
            <w:noWrap w:val="0"/>
            <w:vAlign w:val="center"/>
          </w:tcPr>
          <w:p>
            <w:pPr>
              <w:spacing w:line="520" w:lineRule="exact"/>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eastAsia="zh-CN"/>
              </w:rPr>
              <w:t>事业</w:t>
            </w:r>
          </w:p>
        </w:tc>
        <w:tc>
          <w:tcPr>
            <w:tcW w:w="1190" w:type="dxa"/>
            <w:noWrap w:val="0"/>
            <w:vAlign w:val="center"/>
          </w:tcPr>
          <w:p>
            <w:pPr>
              <w:spacing w:line="520" w:lineRule="exact"/>
              <w:ind w:firstLine="210" w:firstLineChars="100"/>
              <w:jc w:val="both"/>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eastAsia="zh-CN"/>
              </w:rPr>
              <w:t>股级</w:t>
            </w:r>
          </w:p>
        </w:tc>
        <w:tc>
          <w:tcPr>
            <w:tcW w:w="3011" w:type="dxa"/>
            <w:noWrap w:val="0"/>
            <w:vAlign w:val="center"/>
          </w:tcPr>
          <w:p>
            <w:pPr>
              <w:spacing w:line="520" w:lineRule="exact"/>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eastAsia="zh-CN"/>
              </w:rPr>
              <w:t>财政性资金基金保证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部门</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三河市文化广电和旅游局机关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5815.82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5746.15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69.67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5815.82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2087.94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1966.86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121.08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3727.88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5815.82万元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文化和旅游支出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文物支出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新闻出版电影支出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5815.82万元</w:t>
      </w:r>
      <w:r>
        <w:rPr>
          <w:rFonts w:ascii="Times New Roman" w:hAnsi="Times New Roman" w:eastAsia="仿宋_GB2312" w:cs="Times New Roman"/>
          <w:sz w:val="32"/>
          <w:szCs w:val="32"/>
        </w:rPr>
        <w:t>，较20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lang w:val="en-US" w:eastAsia="zh-CN"/>
        </w:rPr>
        <w:t>2017.78</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lang w:val="en-US" w:eastAsia="zh-CN"/>
        </w:rPr>
        <w:t>44.61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减少1973.17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文化和旅游</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部门公用经费安排情况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121.08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三河市文化广电和旅游局部门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6.58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5.13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5.13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1.45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lang w:val="en-US" w:eastAsia="zh-CN"/>
        </w:rPr>
        <w:t>相比增加0.6万元，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w:t>
      </w:r>
      <w:r>
        <w:rPr>
          <w:rFonts w:hint="eastAsia" w:ascii="Times New Roman" w:hAnsi="Times New Roman" w:eastAsia="仿宋_GB2312" w:cs="Times New Roman"/>
          <w:sz w:val="32"/>
          <w:szCs w:val="32"/>
          <w:lang w:eastAsia="zh-CN"/>
        </w:rPr>
        <w:t>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1.37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人员增加。</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部门</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坚持以习近平新时代中国特色社会主义思想为统领，在市委、市政府的正确领导下，深入贯彻落实党的“不忘初心、牢记使命”主题教育精神，坚持以社会主义核心价值观引领文化旅游建设，坚持科学以科学规划指引文旅产业发展，贯彻国家和省、市关于文化广电、旅游工作的方针、政策和法规，指导、管理全市文化广电、旅游事业，指导艺术创作与生产，推动各门类艺术的发展，管理全市性重大文化活动，计划完成“彩色周末”23场、“民星大舞台”10场、“文化下乡”327场、“传统文化进校园”、“京东大鼓”演出、主题书画影展等文化活动品牌。举办“文化和自然遗产日”、“中国旅游日”、“世界读书日”、“博物馆日”、“我们的节日”等系列文旅主题活动。开展系列群众文化大培训、文艺拔尖人才培训等。坚持以政策和资金扶持激励文旅产业投入，坚持乡村振兴与全域旅游建设相结合，坚持文化艺术服务人民、服务基层、服务市委、市政府中心工作，坚持依法行政严格执法，坚持为民、务实、高效、廉洁，切实转变工作作风，创新工作方法，2022年我局继续鼓励重点文旅企业“走出去”将我市文旅资源推向全国，促进交流合作；“请进来”将全国先进理念，先进经验带回三河。推动和促进文化旅游战线各项工作全面进步，为全市政治、经济和社会全面发展做出应有的贡献。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旅游宣传活动。</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开展旅游宣传工作，有效地宣传推介我市旅游资源和旅游产品，更好地宣传三河、展示三河、增强三河的知名度和美誉度，实现旅游收入和接待游客人数双增长，旅游消费升级将进一步拉动经济增长。通过播种油菜花和制定旅游规划来吸引游客来我市旅游度假休闲，保障我市文旅产业稳步发展。</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绩效指标：数量指标：播种油菜花面积300亩；举行各项旅游推介活动参观人次达到1000人次。时效指标：各项活动、油菜花播种完成时间均为1年。</w:t>
      </w:r>
    </w:p>
    <w:p>
      <w:pPr>
        <w:pStyle w:val="2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文化惠民活动。</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绩效目标：通过开展此项文化惠民演出活动，活跃全市人民的文化生活并达到国家公共文化服务体系示范区的总体要求，顺利通过示范区复检工作。实现讴歌伟大的党、伟大的祖国、伟大的中国梦和美丽的三河。</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绩效指标：数量指标：全年预计完成文化惠民演出350场。成本指标：单场演出成本控制在1.3万元。</w:t>
      </w:r>
    </w:p>
    <w:p>
      <w:pPr>
        <w:pStyle w:val="2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传统文化进校园文化活动</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绩效目标：通过戏曲进校园文化活动的开展，实现激发学生对优秀传统文化艺术的热爱，形成戏曲传承发展的浓厚氛围。</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绩效指标：数量指标：全年预计完成传统文化进校园活动20场。成本指标：单场演出成本控制在0.9万元。</w:t>
      </w:r>
    </w:p>
    <w:p>
      <w:pPr>
        <w:pStyle w:val="2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博物馆免费开放活动</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绩效目标：使广大群众加深对博物馆的了解与认知，更加了解三河丰富的历史文化资源，使三河的历史文化得到传承</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数量指标：制定博物馆中长期发展规划1个；走进社区、军营及四个文化站进行文物宣讲；开展清明节、中秋节、博物馆日等相关活动10场。成本指标：平均每场活动控制在3000元。3、时效指标：各项活动开展均在1年内完成。</w:t>
      </w:r>
    </w:p>
    <w:p>
      <w:pPr>
        <w:pStyle w:val="2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农村公益电影放映活动</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绩效目标：宣传党的路线、方针、政策，普及推广爱国主义教育和科普常识教育；在寓教于乐的基础上，推动农村文化建设。</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绩效指标：数量指标：全年组织农村公益电影放映活动4740场；成本指标：平均每场活动控制在100元。社会效益指标：电影覆盖全市395个村庄，有效促进普及推广爱国主义教育和科普常识教育。</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完善预算绩效管理制度建设。为进一步加强预算绩效管理，提高预算绩效目标管理的科学性、规范性和有效性，根据《中共三河市委三河市人民政府关于全面实施预算绩效管理的实施意见》（三发〔2019〕18号）的有关规定，参照《三河市财政局预算绩效目标管理办法（试行）》,我部门制定完善《整体绩效评价管理办法》、部门《事前绩效评估管理办法》、部门《绩效运行监控管理办法》和部门《绩效目标管理管理办法》，确保部门预算绩效执行的科学性和合理性。</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认真贯彻部门《财务支出管理办法》。我部门完善强化《财务支出管理办法》、《预算业务管理制度》，加强支出管理、提高资金使用效率，确保项目资金支出的及时性、合理性和合规性，增强预算的科学性。</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做好绩效自评。按照财政部门的相关要求，我部门按照要求的时间节点做好我部门相关项目支出的绩效自评工作。2020年开展的绩效自评的项目为49个，涉及项目资金8430.18万元，项目资金执行率为87%，项目资金按照预算项目资金管理使用办法专款专用，全部用于各预算项目支出。针对绩效目标实现率低的项目，我部门将积极督促相关科室与上级部门进行沟通，确保资金批文及时下达，保证资金的顺利支出。同时，对各个项目绩效自评情况进行及时整理、归纳、分析，将其作为改善我</w:t>
      </w:r>
      <w:r>
        <w:rPr>
          <w:rFonts w:hint="eastAsia" w:ascii="仿宋_GB2312" w:eastAsia="仿宋_GB2312" w:cs="Times New Roman"/>
          <w:sz w:val="32"/>
          <w:szCs w:val="32"/>
          <w:lang w:eastAsia="zh-CN"/>
        </w:rPr>
        <w:t>部门</w:t>
      </w:r>
      <w:r>
        <w:rPr>
          <w:rFonts w:hint="eastAsia" w:ascii="仿宋_GB2312" w:eastAsia="仿宋_GB2312" w:cs="Times New Roman"/>
          <w:sz w:val="32"/>
          <w:szCs w:val="32"/>
        </w:rPr>
        <w:t>预算管理工作和安排以后年度预算的依据。不断完善绩效评价指标，逐步建立符合我部门工作特点的绩效评价指标体系。</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4、开展宣传培训调研工作。我部门组织下属</w:t>
      </w:r>
      <w:r>
        <w:rPr>
          <w:rFonts w:hint="eastAsia" w:ascii="仿宋_GB2312" w:eastAsia="仿宋_GB2312" w:cs="Times New Roman"/>
          <w:sz w:val="32"/>
          <w:szCs w:val="32"/>
          <w:lang w:eastAsia="zh-CN"/>
        </w:rPr>
        <w:t>部门</w:t>
      </w:r>
      <w:r>
        <w:rPr>
          <w:rFonts w:hint="eastAsia" w:ascii="仿宋_GB2312" w:eastAsia="仿宋_GB2312" w:cs="Times New Roman"/>
          <w:sz w:val="32"/>
          <w:szCs w:val="32"/>
        </w:rPr>
        <w:t>积极参加财政部门组织的绩效目标管理培训会议和讲座，同时组织机关各股室、各部门开展部门专项项目预算编审培训会、绩效管理培训会，针对绩效目标各项指标的编审开展专家辅导培训会，为我部门各项专项项目的绩效目标指标设定奠定基础。</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部门</w:t>
      </w:r>
      <w:r>
        <w:rPr>
          <w:rFonts w:hint="eastAsia" w:ascii="楷体_GB2312" w:eastAsia="楷体_GB2312" w:cs="Times New Roman"/>
          <w:b/>
          <w:sz w:val="32"/>
          <w:szCs w:val="32"/>
        </w:rPr>
        <w:t>整体支出绩效指标</w:t>
      </w:r>
    </w:p>
    <w:tbl>
      <w:tblPr>
        <w:tblStyle w:val="8"/>
        <w:tblW w:w="12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40"/>
        <w:gridCol w:w="768"/>
        <w:gridCol w:w="1380"/>
        <w:gridCol w:w="828"/>
        <w:gridCol w:w="1380"/>
        <w:gridCol w:w="703"/>
        <w:gridCol w:w="768"/>
        <w:gridCol w:w="768"/>
        <w:gridCol w:w="5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6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8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3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3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50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40" w:type="dxa"/>
            <w:vMerge w:val="continue"/>
            <w:tcBorders>
              <w:tl2br w:val="nil"/>
              <w:tr2bl w:val="nil"/>
            </w:tcBorders>
            <w:vAlign w:val="center"/>
          </w:tcPr>
          <w:p/>
        </w:tc>
        <w:tc>
          <w:tcPr>
            <w:tcW w:w="768" w:type="dxa"/>
            <w:vMerge w:val="continue"/>
            <w:tcBorders>
              <w:tl2br w:val="nil"/>
              <w:tr2bl w:val="nil"/>
            </w:tcBorders>
            <w:vAlign w:val="center"/>
          </w:tcPr>
          <w:p/>
        </w:tc>
        <w:tc>
          <w:tcPr>
            <w:tcW w:w="1380" w:type="dxa"/>
            <w:vMerge w:val="continue"/>
            <w:tcBorders>
              <w:tl2br w:val="nil"/>
              <w:tr2bl w:val="nil"/>
            </w:tcBorders>
            <w:vAlign w:val="center"/>
          </w:tcPr>
          <w:p/>
        </w:tc>
        <w:tc>
          <w:tcPr>
            <w:tcW w:w="828" w:type="dxa"/>
            <w:vMerge w:val="continue"/>
            <w:tcBorders>
              <w:tl2br w:val="nil"/>
              <w:tr2bl w:val="nil"/>
            </w:tcBorders>
            <w:vAlign w:val="center"/>
          </w:tcPr>
          <w:p/>
        </w:tc>
        <w:tc>
          <w:tcPr>
            <w:tcW w:w="1380" w:type="dxa"/>
            <w:vMerge w:val="continue"/>
            <w:tcBorders>
              <w:tl2br w:val="nil"/>
              <w:tr2bl w:val="nil"/>
            </w:tcBorders>
            <w:vAlign w:val="center"/>
          </w:tcPr>
          <w:p/>
        </w:tc>
        <w:tc>
          <w:tcPr>
            <w:tcW w:w="70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6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68" w:type="dxa"/>
            <w:tcBorders>
              <w:tl2br w:val="nil"/>
              <w:tr2bl w:val="nil"/>
            </w:tcBorders>
            <w:vAlign w:val="center"/>
          </w:tcPr>
          <w:p>
            <w:pPr>
              <w:widowControl/>
              <w:adjustRightInd w:val="0"/>
              <w:snapToGrid w:val="0"/>
              <w:jc w:val="center"/>
              <w:rPr>
                <w:rFonts w:hint="eastAsia" w:ascii="方正书宋_GBK" w:eastAsia="方正书宋_GBK"/>
                <w:b/>
                <w:lang w:eastAsia="zh-CN"/>
              </w:rPr>
            </w:pPr>
            <w:r>
              <w:rPr>
                <w:rFonts w:hint="eastAsia" w:ascii="方正书宋_GBK" w:eastAsia="方正书宋_GBK"/>
                <w:b/>
                <w:lang w:eastAsia="zh-CN"/>
              </w:rPr>
              <w:t>部门</w:t>
            </w:r>
          </w:p>
        </w:tc>
        <w:tc>
          <w:tcPr>
            <w:tcW w:w="508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40"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部门</w:t>
            </w:r>
            <w:r>
              <w:rPr>
                <w:rFonts w:ascii="方正书宋_GBK" w:eastAsia="方正书宋_GBK"/>
              </w:rPr>
              <w:t>产出</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送公益文化惠民活动场次</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送公益文化惠民活动场次</w:t>
            </w:r>
          </w:p>
        </w:tc>
        <w:tc>
          <w:tcPr>
            <w:tcW w:w="70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350</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场</w:t>
            </w:r>
          </w:p>
        </w:tc>
        <w:tc>
          <w:tcPr>
            <w:tcW w:w="50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中共廊坊市委廊发【2014】7号《关于创建国家公共文化服务体系示范区的实施意见》。中共河北省委办公厅 湖北省人民政府办公厅 冀办密传【2020】67号《关于支持国有文艺院团深化改革发展的若干措施》的通知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40" w:type="dxa"/>
            <w:vMerge w:val="continue"/>
            <w:tcBorders>
              <w:tl2br w:val="nil"/>
              <w:tr2bl w:val="nil"/>
            </w:tcBorders>
            <w:vAlign w:val="center"/>
          </w:tcPr>
          <w:p>
            <w:pPr>
              <w:widowControl/>
              <w:adjustRightInd w:val="0"/>
              <w:snapToGrid w:val="0"/>
              <w:jc w:val="center"/>
              <w:rPr>
                <w:rFonts w:hint="eastAsia" w:ascii="方正书宋_GBK" w:eastAsia="方正书宋_GBK"/>
                <w:lang w:eastAsia="zh-CN"/>
              </w:rPr>
            </w:p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播种油菜花</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反映油菜花播种面积情况</w:t>
            </w:r>
          </w:p>
        </w:tc>
        <w:tc>
          <w:tcPr>
            <w:tcW w:w="70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300</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亩</w:t>
            </w:r>
          </w:p>
        </w:tc>
        <w:tc>
          <w:tcPr>
            <w:tcW w:w="50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40" w:type="dxa"/>
            <w:vMerge w:val="continue"/>
            <w:tcBorders>
              <w:tl2br w:val="nil"/>
              <w:tr2bl w:val="nil"/>
            </w:tcBorders>
            <w:vAlign w:val="center"/>
          </w:tcPr>
          <w:p>
            <w:pPr>
              <w:widowControl/>
              <w:adjustRightInd w:val="0"/>
              <w:snapToGrid w:val="0"/>
              <w:jc w:val="center"/>
              <w:rPr>
                <w:rFonts w:hint="eastAsia" w:ascii="方正书宋_GBK" w:eastAsia="方正书宋_GBK"/>
                <w:lang w:eastAsia="zh-CN"/>
              </w:rPr>
            </w:p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组织传统文化进校园文化活动场次</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组织传统文化进校园文化活动场次</w:t>
            </w:r>
          </w:p>
        </w:tc>
        <w:tc>
          <w:tcPr>
            <w:tcW w:w="70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20</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场</w:t>
            </w:r>
          </w:p>
        </w:tc>
        <w:tc>
          <w:tcPr>
            <w:tcW w:w="50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中共廊坊市委宣传部廊宣字【2020】8号关于做好2020年“传统文化进校园”有关工作的通知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送公益流动文化服务进基层完成率</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年度内送公益文艺演出实际场次数占计划场次的比率</w:t>
            </w:r>
          </w:p>
        </w:tc>
        <w:tc>
          <w:tcPr>
            <w:tcW w:w="70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100</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百分比</w:t>
            </w:r>
          </w:p>
        </w:tc>
        <w:tc>
          <w:tcPr>
            <w:tcW w:w="508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回执单及照片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质量</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播种油菜花合格率</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反映播种油菜花质量合格情况</w:t>
            </w:r>
          </w:p>
        </w:tc>
        <w:tc>
          <w:tcPr>
            <w:tcW w:w="70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100</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百分比</w:t>
            </w:r>
          </w:p>
        </w:tc>
        <w:tc>
          <w:tcPr>
            <w:tcW w:w="508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质量</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传统文化进校园完成率</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年度内实际演出场次占计划演出场次比率</w:t>
            </w:r>
          </w:p>
        </w:tc>
        <w:tc>
          <w:tcPr>
            <w:tcW w:w="70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100</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百分比</w:t>
            </w:r>
          </w:p>
        </w:tc>
        <w:tc>
          <w:tcPr>
            <w:tcW w:w="508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回执单及照片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各项工作完成时间</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反映部门各项工作完成时间情况</w:t>
            </w:r>
          </w:p>
        </w:tc>
        <w:tc>
          <w:tcPr>
            <w:tcW w:w="70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年</w:t>
            </w:r>
          </w:p>
        </w:tc>
        <w:tc>
          <w:tcPr>
            <w:tcW w:w="50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预算支出进度安排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8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部门</w:t>
            </w:r>
            <w:r>
              <w:rPr>
                <w:rFonts w:hint="eastAsia" w:ascii="方正书宋_GBK" w:eastAsia="方正书宋_GBK"/>
              </w:rPr>
              <w:t>整体预算支出成本</w:t>
            </w:r>
          </w:p>
        </w:tc>
        <w:tc>
          <w:tcPr>
            <w:tcW w:w="82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反映年度部门整体预算支出的成本情况</w:t>
            </w:r>
          </w:p>
        </w:tc>
        <w:tc>
          <w:tcPr>
            <w:tcW w:w="70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w:t>
            </w:r>
          </w:p>
        </w:tc>
        <w:tc>
          <w:tcPr>
            <w:tcW w:w="768" w:type="dxa"/>
            <w:tcBorders>
              <w:tl2br w:val="nil"/>
              <w:tr2bl w:val="nil"/>
            </w:tcBorders>
            <w:vAlign w:val="center"/>
          </w:tcPr>
          <w:p>
            <w:pPr>
              <w:widowControl/>
              <w:adjustRightInd w:val="0"/>
              <w:snapToGrid w:val="0"/>
              <w:rPr>
                <w:rFonts w:hint="default" w:ascii="方正书宋_GBK" w:eastAsia="方正书宋_GBK"/>
                <w:lang w:val="en-US"/>
              </w:rPr>
            </w:pPr>
            <w:r>
              <w:rPr>
                <w:rFonts w:hint="eastAsia" w:ascii="方正书宋_GBK" w:eastAsia="方正书宋_GBK"/>
                <w:lang w:val="en-US" w:eastAsia="zh-CN"/>
              </w:rPr>
              <w:t>4813.9</w:t>
            </w:r>
          </w:p>
        </w:tc>
        <w:tc>
          <w:tcPr>
            <w:tcW w:w="768"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万元</w:t>
            </w:r>
          </w:p>
        </w:tc>
        <w:tc>
          <w:tcPr>
            <w:tcW w:w="508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2022年预算安排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部门</w:t>
            </w:r>
            <w:r>
              <w:rPr>
                <w:rFonts w:hint="eastAsia" w:ascii="方正书宋_GBK" w:eastAsia="方正书宋_GBK"/>
              </w:rPr>
              <w:t>效果</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80"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提高三河旅游知名度，改善旅游环境</w:t>
            </w:r>
          </w:p>
        </w:tc>
        <w:tc>
          <w:tcPr>
            <w:tcW w:w="82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促进三河文旅事业发展</w:t>
            </w:r>
          </w:p>
        </w:tc>
        <w:tc>
          <w:tcPr>
            <w:tcW w:w="70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文字描述</w:t>
            </w:r>
          </w:p>
        </w:tc>
        <w:tc>
          <w:tcPr>
            <w:tcW w:w="768" w:type="dxa"/>
            <w:tcBorders>
              <w:tl2br w:val="nil"/>
              <w:tr2bl w:val="nil"/>
            </w:tcBorders>
            <w:vAlign w:val="center"/>
          </w:tcPr>
          <w:p>
            <w:pPr>
              <w:widowControl/>
              <w:adjustRightInd w:val="0"/>
              <w:snapToGrid w:val="0"/>
              <w:jc w:val="center"/>
              <w:rPr>
                <w:rFonts w:hint="eastAsia" w:ascii="方正书宋_GBK" w:eastAsia="方正书宋_GBK"/>
              </w:rPr>
            </w:pPr>
          </w:p>
        </w:tc>
        <w:tc>
          <w:tcPr>
            <w:tcW w:w="76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有效促进</w:t>
            </w:r>
          </w:p>
        </w:tc>
        <w:tc>
          <w:tcPr>
            <w:tcW w:w="508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continue"/>
            <w:tcBorders>
              <w:tl2br w:val="nil"/>
              <w:tr2bl w:val="nil"/>
            </w:tcBorders>
            <w:vAlign w:val="center"/>
          </w:tcPr>
          <w:p>
            <w:pPr>
              <w:adjustRightInd w:val="0"/>
              <w:snapToGrid w:val="0"/>
              <w:jc w:val="center"/>
              <w:rPr>
                <w:rFonts w:hint="eastAsia" w:ascii="方正书宋_GBK" w:eastAsia="方正书宋_GBK"/>
                <w:lang w:eastAsia="zh-CN"/>
              </w:rPr>
            </w:p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80"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提高观众的传统文化素养，做好戏曲文化宣传展示覆盖率</w:t>
            </w:r>
          </w:p>
        </w:tc>
        <w:tc>
          <w:tcPr>
            <w:tcW w:w="82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提高观众的传统文化素养，做好戏曲文化宣传展示覆盖率</w:t>
            </w:r>
          </w:p>
        </w:tc>
        <w:tc>
          <w:tcPr>
            <w:tcW w:w="70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85</w:t>
            </w:r>
          </w:p>
        </w:tc>
        <w:tc>
          <w:tcPr>
            <w:tcW w:w="76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百分比</w:t>
            </w:r>
          </w:p>
        </w:tc>
        <w:tc>
          <w:tcPr>
            <w:tcW w:w="508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观众调查表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8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受益群体满意度</w:t>
            </w:r>
          </w:p>
        </w:tc>
        <w:tc>
          <w:tcPr>
            <w:tcW w:w="828"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38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反映各项工作受益群体的满意度</w:t>
            </w:r>
          </w:p>
        </w:tc>
        <w:tc>
          <w:tcPr>
            <w:tcW w:w="70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50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1.安全生产教育活动经费绩效目标表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6"/>
        <w:gridCol w:w="1824"/>
        <w:gridCol w:w="2172"/>
        <w:gridCol w:w="3432"/>
        <w:gridCol w:w="1836"/>
        <w:gridCol w:w="29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96" w:type="dxa"/>
            <w:gridSpan w:val="5"/>
            <w:shd w:val="clear" w:color="auto" w:fill="auto"/>
            <w:vAlign w:val="center"/>
          </w:tcPr>
          <w:p>
            <w:pPr>
              <w:pStyle w:val="14"/>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uk-UA" w:bidi="ar-SA"/>
              </w:rPr>
              <w:t>通过提供法律咨询，提高机关干部职工的法律意识。通过召开警示教育培训大会，签订年度责任书，聘请专家进行培训，压实安全生产主体责任。印制宣传资料，组织宣传活动，切实提高文旅市场经营</w:t>
            </w:r>
            <w:r>
              <w:rPr>
                <w:rFonts w:hint="eastAsia" w:ascii="Times New Roman" w:hAnsi="Times New Roman" w:eastAsia="仿宋_GB2312" w:cs="Times New Roman"/>
                <w:b/>
                <w:kern w:val="2"/>
                <w:sz w:val="21"/>
                <w:szCs w:val="22"/>
                <w:lang w:val="en-US" w:eastAsia="zh-CN" w:bidi="ar-SA"/>
              </w:rPr>
              <w:t>部门</w:t>
            </w:r>
            <w:r>
              <w:rPr>
                <w:rFonts w:hint="eastAsia" w:ascii="Times New Roman" w:hAnsi="Times New Roman" w:eastAsia="仿宋_GB2312" w:cs="Times New Roman"/>
                <w:b/>
                <w:kern w:val="2"/>
                <w:sz w:val="21"/>
                <w:szCs w:val="22"/>
                <w:lang w:val="en-US" w:eastAsia="uk-UA" w:bidi="ar-SA"/>
              </w:rPr>
              <w:t>安全生产意识。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2172"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培训、宣传场次</w:t>
            </w:r>
          </w:p>
        </w:tc>
        <w:tc>
          <w:tcPr>
            <w:tcW w:w="3432"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组织安全生产专项培训、宣传活动</w:t>
            </w:r>
          </w:p>
        </w:tc>
        <w:tc>
          <w:tcPr>
            <w:tcW w:w="1836"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≥2场</w:t>
            </w:r>
          </w:p>
        </w:tc>
        <w:tc>
          <w:tcPr>
            <w:tcW w:w="29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18"/>
                <w:szCs w:val="18"/>
                <w:lang w:val="en-US" w:eastAsia="zh-CN" w:bidi="ar-SA"/>
              </w:rPr>
              <w:t>2018年、2019年、2020年聘用法律顾问费用呈上升趋势。文件依据是根据历年安排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安全培训达标率、宣传效果</w:t>
            </w: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安全操作能力达标人数、安全生产意识提升等</w:t>
            </w: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≥90百分比</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法律条款有效性</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法律条款有效性</w:t>
            </w:r>
          </w:p>
          <w:p>
            <w:pPr>
              <w:spacing w:line="300" w:lineRule="exact"/>
              <w:jc w:val="left"/>
              <w:rPr>
                <w:rFonts w:hint="eastAsia" w:ascii="Times New Roman" w:hAnsi="Times New Roman" w:eastAsia="仿宋_GB2312" w:cs="Times New Roman"/>
                <w:lang w:val="en-US" w:eastAsia="zh-CN"/>
              </w:rPr>
            </w:pP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=100百分比</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2018年、2019年、2020年聘用法律顾问费用呈上升趋势。文件依据是根据历年安排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计划任务按时完成率</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全年完成工作时间</w:t>
            </w: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平均每次法律咨询所需成本</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平均每次法律咨询所需成本</w:t>
            </w:r>
          </w:p>
          <w:p>
            <w:pPr>
              <w:spacing w:line="300" w:lineRule="exact"/>
              <w:jc w:val="left"/>
              <w:rPr>
                <w:rFonts w:hint="eastAsia" w:ascii="Times New Roman" w:hAnsi="Times New Roman" w:eastAsia="仿宋_GB2312" w:cs="Times New Roman"/>
                <w:lang w:val="en-US" w:eastAsia="zh-CN"/>
              </w:rPr>
            </w:pP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≤0.6万元</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2018年、2019年、2020年聘用法律顾问费用呈上升趋势。文件依据是根据历年安排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每次活动成本</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平均每次需要金额</w:t>
            </w: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≤1万元</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安全生产法等各类文件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法律意识提高</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法律意识提高</w:t>
            </w:r>
          </w:p>
          <w:p>
            <w:pPr>
              <w:spacing w:line="300" w:lineRule="exact"/>
              <w:jc w:val="left"/>
              <w:rPr>
                <w:rFonts w:hint="eastAsia" w:ascii="Times New Roman" w:hAnsi="Times New Roman" w:eastAsia="仿宋_GB2312" w:cs="Times New Roman"/>
                <w:lang w:val="en-US" w:eastAsia="zh-CN"/>
              </w:rPr>
            </w:pP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显著提高</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2018年、2019年、2020年聘用法律顾问费用呈上升趋势。文件依据是根据历年安排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隐患整改率</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已整改隐患数占执法发现的隐患总数的比率</w:t>
            </w: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≥90百分比</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绩效考核内设机构目标完成情况评价档次较好级及以上比率</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实际考核档次指标/计划考核档次指标</w:t>
            </w: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≥90百分比</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市级机关内设机构目标任务完成情况评分标准</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2.博物馆免费开放经费绩效目标表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uk-UA" w:bidi="ar-SA"/>
              </w:rPr>
              <w:t>通过博物馆免费开放，使广大群众加深对博物馆的了解与认知，更加了解三河丰富的历史文化资源。通过博物馆免费开放，促使三河的历史文化得到传承。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工作人员数</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为参观群众提供服务、讲解人数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博物馆工作人员情况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工作完成率</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为参观群众提供服务、讲解工作完成情况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博物馆条例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工作时间</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为参观群众提供服务、讲解工作时间</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博物馆条例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平均举行每场活动及培训所需成本</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平均举行每场活动及培训所需成本</w:t>
            </w:r>
          </w:p>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3000元/每次</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传承三河历史文化</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反映传承三河历史文化的效果</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显著提升</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博物馆条例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群众满意度</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对参观群众进行服务满意度调查</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.传统文化进校园经费绩效目标表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仿宋_GB2312" w:cs="Times New Roman"/>
                <w:b/>
                <w:kern w:val="2"/>
                <w:sz w:val="21"/>
                <w:szCs w:val="22"/>
                <w:lang w:val="en-US" w:eastAsia="uk-UA" w:bidi="ar-SA"/>
              </w:rPr>
            </w:pPr>
            <w:r>
              <w:rPr>
                <w:rFonts w:hint="eastAsia" w:ascii="Times New Roman" w:hAnsi="Times New Roman" w:eastAsia="仿宋_GB2312" w:cs="Times New Roman"/>
                <w:b/>
                <w:kern w:val="2"/>
                <w:sz w:val="21"/>
                <w:szCs w:val="22"/>
                <w:lang w:val="en-US" w:eastAsia="uk-UA" w:bidi="ar-SA"/>
              </w:rPr>
              <w:t>通过戏曲进校园文化活动的开展，实现激发学生对优秀传统文化艺术的热爱</w:t>
            </w:r>
            <w:r>
              <w:rPr>
                <w:rFonts w:hint="eastAsia" w:ascii="Times New Roman" w:hAnsi="Times New Roman" w:eastAsia="仿宋_GB2312" w:cs="Times New Roman"/>
                <w:b/>
                <w:kern w:val="2"/>
                <w:sz w:val="21"/>
                <w:szCs w:val="22"/>
                <w:lang w:val="en-US" w:eastAsia="zh-CN" w:bidi="ar-SA"/>
              </w:rPr>
              <w:t>。</w:t>
            </w:r>
            <w:r>
              <w:rPr>
                <w:rFonts w:hint="eastAsia" w:ascii="Times New Roman" w:hAnsi="Times New Roman" w:eastAsia="仿宋_GB2312" w:cs="Times New Roman"/>
                <w:b/>
                <w:kern w:val="2"/>
                <w:sz w:val="21"/>
                <w:szCs w:val="22"/>
                <w:lang w:val="en-US" w:eastAsia="uk-UA" w:bidi="ar-SA"/>
              </w:rPr>
              <w:t>通过戏曲进校园文化活动的开展，形成戏曲传承发展的浓厚氛围，提高学生的传统文化素养。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组织传统文化进校园文化活动场次</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组织传统文化进校园文化活动20场</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中共廊坊市委宣传部廊宣字【2020】8号关于做好2020年“传统文化进校园”有关工作的通知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保障全年完成率</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保障全年完成100%</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回执单及照片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10月底完成</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10月底完成100%</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每场演出成本</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反映每场演出成本额</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0.9万元/每场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依据测算过程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提高学生的传统文化素养，做好戏曲文化宣传展示覆盖率%</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提高学生的传统文化素养，做好戏曲文化宣传展示覆盖率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≥85百分比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观众调查表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学生满意度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学生满意度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学生调查问卷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.会议中心管理经费绩效目标表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uk-UA" w:bidi="ar-SA"/>
              </w:rPr>
              <w:t>按照市委办公室的安排，配合会议主办方布置会场，负责相关设备的正常运行和维护，以优良的环境完成好每次会议</w:t>
            </w:r>
            <w:r>
              <w:rPr>
                <w:rFonts w:hint="eastAsia" w:ascii="Times New Roman" w:hAnsi="Times New Roman" w:eastAsia="仿宋_GB2312" w:cs="Times New Roman"/>
                <w:b/>
                <w:kern w:val="2"/>
                <w:sz w:val="21"/>
                <w:szCs w:val="22"/>
                <w:lang w:val="en-US" w:eastAsia="zh-CN" w:bidi="ar-SA"/>
              </w:rPr>
              <w:t>。</w:t>
            </w:r>
            <w:r>
              <w:rPr>
                <w:rFonts w:hint="eastAsia" w:ascii="Times New Roman" w:hAnsi="Times New Roman" w:eastAsia="仿宋_GB2312" w:cs="Times New Roman"/>
                <w:b/>
                <w:kern w:val="2"/>
                <w:sz w:val="21"/>
                <w:szCs w:val="22"/>
                <w:lang w:val="en-US" w:eastAsia="uk-UA" w:bidi="ar-SA"/>
              </w:rPr>
              <w:t>通过会议中心管理委会，保障会议中心会务正常开展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需要维护的桌子椅子个数</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反映需要维护的座套的桌子椅子个数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≤400套</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三文体（2004）第1号    （附：孙书记、吴市长签字）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会议布置合格率</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反映会议布置的合格率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每次会议完成情况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会议布置的及时性</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反映会议布置的及时性</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会议登记表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维护每套桌子椅子所需成本</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反映维护每套桌子椅子所需成本</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历年工作安排及年度预算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确保市四大班子及相关部门每次会议圆满完成</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确保市四大班子及相关部门每次会议圆满完成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及时圆满完成</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会议登记表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参会人员满意度</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参会人员满意度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≥90调查问卷</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.旅游宣传工作经费绩效目标表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1"/>
        <w:gridCol w:w="2388"/>
        <w:gridCol w:w="3326"/>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播种油菜花和制定旅游规划来吸引游客来我市旅游度假休闲，保障我市文旅产业稳步发展。通过开展旅游宣传工作，有效地宣传推介我市旅游资源和旅游产品，更好地宣传三河、展示三河、增强三河的知名度和美誉度，实现旅游收入和接待游客人数双增长，旅游消费升级将进一步拉动经济增长</w:t>
            </w:r>
            <w:r>
              <w:rPr>
                <w:rFonts w:hint="eastAsia" w:ascii="Times New Roman" w:hAnsi="Times New Roman" w:eastAsia="仿宋_GB2312" w:cs="Times New Roman"/>
                <w:b/>
                <w:kern w:val="2"/>
                <w:sz w:val="21"/>
                <w:szCs w:val="22"/>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播种油菜花面积</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反映油菜花播种面积情况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300亩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参加活动人数</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活动现场参与人数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≥1000人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播种油菜花合格率</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播种油菜花合格率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任务完成率</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反映任务完成情况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按时完成</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反映完成全年工作任务所需时间</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≤12月</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项目</w:t>
            </w:r>
            <w:r>
              <w:rPr>
                <w:rFonts w:hint="eastAsia" w:ascii="Times New Roman" w:hAnsi="Times New Roman" w:eastAsia="仿宋_GB2312" w:cs="Times New Roman"/>
                <w:lang w:eastAsia="zh-CN"/>
              </w:rPr>
              <w:t>单位</w:t>
            </w:r>
            <w:r>
              <w:rPr>
                <w:rFonts w:ascii="Times New Roman" w:hAnsi="Times New Roman" w:eastAsia="仿宋_GB2312" w:cs="Times New Roman"/>
              </w:rPr>
              <w:t>成本</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反映油菜花播种资金情况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500元/亩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项目</w:t>
            </w:r>
            <w:r>
              <w:rPr>
                <w:rFonts w:hint="eastAsia" w:ascii="Times New Roman" w:hAnsi="Times New Roman" w:eastAsia="仿宋_GB2312" w:cs="Times New Roman"/>
                <w:lang w:eastAsia="zh-CN"/>
              </w:rPr>
              <w:t>单位</w:t>
            </w:r>
            <w:r>
              <w:rPr>
                <w:rFonts w:ascii="Times New Roman" w:hAnsi="Times New Roman" w:eastAsia="仿宋_GB2312" w:cs="Times New Roman"/>
              </w:rPr>
              <w:t>成本</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反映聘请规划评审专家单位成本控制情况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≤4000元/工日</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城市规划设计计费指导意见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4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提高三河旅游知名度</w:t>
            </w: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改善旅游环境促进三河文旅事业发展</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有效促进</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7"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规划成果对三河旅游未来发展产生持续影响</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通过对发展规划的执行对三河旅游未来发展产生持续影响</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4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社会公众满意度</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现场参与人员对活动的满意程度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.农村公益电影放映地方配套经费绩效目标表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1"/>
        <w:gridCol w:w="2388"/>
        <w:gridCol w:w="3326"/>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通过宣放映公益电影，宣传党的路线、方针、政策，普及推广爱国主义教育和科普常识教育；在寓教于乐的基础上，推动农村文化建设</w:t>
            </w:r>
            <w:r>
              <w:rPr>
                <w:rFonts w:hint="eastAsia" w:ascii="Times New Roman" w:hAnsi="Times New Roman" w:eastAsia="仿宋_GB2312" w:cs="Times New Roman"/>
                <w:b/>
                <w:kern w:val="2"/>
                <w:sz w:val="21"/>
                <w:szCs w:val="22"/>
                <w:lang w:val="en-US" w:eastAsia="zh-CN" w:bidi="ar-SA"/>
              </w:rPr>
              <w:t>。</w:t>
            </w:r>
            <w:r>
              <w:rPr>
                <w:rFonts w:hint="eastAsia" w:ascii="Times New Roman" w:hAnsi="Times New Roman" w:eastAsia="仿宋_GB2312" w:cs="Times New Roman"/>
                <w:b/>
                <w:kern w:val="2"/>
                <w:sz w:val="21"/>
                <w:szCs w:val="22"/>
                <w:lang w:val="en-US" w:eastAsia="uk-UA" w:bidi="ar-SA"/>
              </w:rPr>
              <w:t>通过宣放映公益电影，在寓教于乐的基础上，推动农村文化建设</w:t>
            </w:r>
            <w:r>
              <w:rPr>
                <w:rFonts w:hint="eastAsia" w:ascii="Times New Roman" w:hAnsi="Times New Roman" w:eastAsia="仿宋_GB2312" w:cs="Times New Roman"/>
                <w:b/>
                <w:kern w:val="2"/>
                <w:sz w:val="21"/>
                <w:szCs w:val="22"/>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组织农村公益电影放映活动场次</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组织农村公益电影放映活动4740场</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4740场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廊文字（2012）13号、冀财教[2014]254号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保障全年完成率</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保障全年完成100%</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放映实施计划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全年1-12月完成</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全年1-12月完成</w:t>
            </w:r>
          </w:p>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放映回执单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每台数字放映机维修、养护成本</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每台数字放映机维修、养护成本</w:t>
            </w:r>
          </w:p>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3500元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2022年预算安排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每场电影放映成本</w:t>
            </w: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每场电影放映成本</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2022年预算安排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4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普及推广爱国主义教育和科普常识教育</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普及推广爱国主义教育和科普常识教育覆盖率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放映回执单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4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观众满意度</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观众满意度</w:t>
            </w:r>
          </w:p>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.文化惠民活动经费套经费绩效目标表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通过开展此项文化惠民演出活动，讴歌伟大的党、伟大的祖国、伟大的中国梦和美丽的三河</w:t>
            </w:r>
            <w:r>
              <w:rPr>
                <w:rFonts w:hint="eastAsia" w:ascii="Times New Roman" w:hAnsi="Times New Roman" w:eastAsia="仿宋_GB2312" w:cs="Times New Roman"/>
                <w:b/>
                <w:kern w:val="2"/>
                <w:sz w:val="21"/>
                <w:szCs w:val="22"/>
                <w:lang w:val="en-US" w:eastAsia="zh-CN" w:bidi="ar-SA"/>
              </w:rPr>
              <w:t>。</w:t>
            </w:r>
            <w:r>
              <w:rPr>
                <w:rFonts w:hint="eastAsia" w:ascii="Times New Roman" w:hAnsi="Times New Roman" w:eastAsia="仿宋_GB2312" w:cs="Times New Roman"/>
                <w:b/>
                <w:kern w:val="2"/>
                <w:sz w:val="21"/>
                <w:szCs w:val="22"/>
                <w:lang w:val="en-US" w:eastAsia="uk-UA" w:bidi="ar-SA"/>
              </w:rPr>
              <w:t>通过开展此项文化惠民演出活动，活跃全市人民的文化生活并达到国家公共文化服务体系示范区的总体要求，顺利通过示范区复检工作。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送公益文化惠民活动场次</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送公益文化惠民活动350场</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350场</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sz w:val="18"/>
                <w:szCs w:val="18"/>
              </w:rPr>
              <w:t>中共廊坊市委廊发【2014】7号《关于创建国家公共文化服务体系示范区的实施意见》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保障全年完成100%</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回执单及照片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全年1-12月完成</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全年1-12月完成100%</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每场演出成本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反映每场演出成本额</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≤0.97万元/每场</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依据测算过程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提高观众的传统文化素养，做好戏曲文化宣传展示覆盖率%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提高观众的传统文化素养，做好戏曲文化宣传展示覆盖率100%</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≥85百分比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观众调查表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群众满意度%</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群众满意度百分比</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.文化中心物业管理和正常运转经费绩效目标表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通过项目的开展，保证文化中心达到正常运转效果。依据采购合同，实现满足人民对美好生活的需求的目标</w:t>
            </w:r>
            <w:r>
              <w:rPr>
                <w:rFonts w:hint="eastAsia" w:ascii="Times New Roman" w:hAnsi="Times New Roman" w:eastAsia="仿宋_GB2312" w:cs="Times New Roman"/>
                <w:b/>
                <w:kern w:val="2"/>
                <w:sz w:val="21"/>
                <w:szCs w:val="22"/>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基础设施物业管理面积</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基础设施物业管理涉及的面积</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128亩</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实际完成配套设施量</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实际完成配套设施量占计划完成配套设施量</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招标合同、供暖合同及实际发生费用发票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工程完工及时率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考察工程完工时间</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及时完成</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招标合同和供暖合同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成本控制</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物业成本平均控制额</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≤112.84元/平米</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通过维护改造，消除安全隐患情况</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通过维护改造，消除安全隐患情况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受益群体调查中，满意和较满意的人数占全部调查人数的比率</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≥95百分比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.镇级综合文体中心活动运转经费绩效目标表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通过项目的经费支出，保障文体中心正常运转，正常开放。通过项目的经费支出，满足各镇人民对中西设施使用的需要，丰富各镇人民的业务文化生活。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开放天数</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全年正常开放天数</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≥350天</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全年开放天数统计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中心正常运转率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中心正常运转率</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全年正常开放天数统计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经费支出时效</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反映经费支出时效及时性</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及时支出</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经费支出进度制定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每个镇活动经费成本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每个镇活动经费成本多少</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4万元</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2022年预算安排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保障中心正常运转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保障中心正常运转</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正常运转</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中心运转天数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到中心活动人群满意度</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到中心参与活动人数满意率</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.综合管理经费</w:t>
      </w:r>
      <w:r>
        <w:rPr>
          <w:rFonts w:hint="eastAsia" w:ascii="Times New Roman" w:hAnsi="Times New Roman" w:eastAsia="仿宋_GB2312" w:cs="Times New Roman"/>
          <w:sz w:val="28"/>
          <w:lang w:eastAsia="zh-CN"/>
        </w:rPr>
        <w:t>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通过人员经费的支出，保障中心活动的正常开展，达到丰富群众业余文化生活，提高市民幸福感的效果</w:t>
            </w:r>
            <w:r>
              <w:rPr>
                <w:rFonts w:hint="eastAsia" w:ascii="Times New Roman" w:hAnsi="Times New Roman" w:eastAsia="仿宋_GB2312" w:cs="Times New Roman"/>
                <w:b/>
                <w:kern w:val="2"/>
                <w:sz w:val="21"/>
                <w:szCs w:val="22"/>
                <w:lang w:val="en-US" w:eastAsia="zh-CN" w:bidi="ar-SA"/>
              </w:rPr>
              <w:t>。</w:t>
            </w:r>
            <w:r>
              <w:rPr>
                <w:rFonts w:hint="eastAsia" w:ascii="Times New Roman" w:hAnsi="Times New Roman" w:eastAsia="仿宋_GB2312" w:cs="Times New Roman"/>
                <w:b/>
                <w:kern w:val="2"/>
                <w:sz w:val="21"/>
                <w:szCs w:val="22"/>
                <w:lang w:val="en-US" w:eastAsia="uk-UA" w:bidi="ar-SA"/>
              </w:rPr>
              <w:t>通过人员经费的支出，保障中心人员正常管理。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工资发放人数</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考察工资发放人数情况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17人</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三文广电字（2013）48号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资金发放合格率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符合人员发放标准合格率</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资金发放及时率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反映资金发放及时情况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人员月工资标准</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反映人员月工资标准</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3.56万元</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2022年预算编制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保障工作正常运转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反映文体中心工作正常运转情况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正常有序运转</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根据历年预算安排及问题中心实际情况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中心人员满意度</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中心人员满意度</w:t>
            </w:r>
          </w:p>
          <w:p>
            <w:pPr>
              <w:spacing w:line="300" w:lineRule="exact"/>
              <w:jc w:val="center"/>
              <w:rPr>
                <w:rFonts w:ascii="Times New Roman" w:hAnsi="Times New Roman" w:eastAsia="仿宋_GB2312" w:cs="Times New Roman"/>
              </w:rPr>
            </w:pP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中心人员调查问卷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.编制《三河市全域旅游发展规划》</w:t>
      </w:r>
      <w:r>
        <w:rPr>
          <w:rFonts w:hint="eastAsia" w:ascii="Times New Roman" w:hAnsi="Times New Roman" w:eastAsia="仿宋_GB2312" w:cs="Times New Roman"/>
          <w:sz w:val="28"/>
          <w:lang w:eastAsia="zh-CN"/>
        </w:rPr>
        <w:t>经费绩效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通过全域旅游规划的编制，达到促进全市旅游资源发展的目标。推介全市旅游资源，促进全市旅游产业稳步发展。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编制规划个数</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反映编制规划的个数</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1个</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编制规划的内容合格率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反映编制规划的内容合格情况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编制规划完成的及时性</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反映编制规划完成的及时情况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及时完成</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编制规划的平均成本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反映编制规划的平均成本（万元/个）</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23万元/个</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编制规划促进全市旅游的发展</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反映编制规划促进全市旅游稳步发展的情况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稳步提升</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市民满意度</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中心人员满意度</w:t>
            </w:r>
          </w:p>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反映编制规划促进全市旅游发展带来的群众满意度情况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spacing w:line="300" w:lineRule="exact"/>
        <w:jc w:val="center"/>
        <w:rPr>
          <w:rFonts w:hint="default" w:ascii="Times New Roman" w:hAnsi="Times New Roman" w:eastAsia="仿宋_GB2312" w:cs="Times New Roman"/>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编制《三河市文化产业和设施布局总体规划》经费绩效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通过编制文化产业发展，达到弘扬三河文化精神的效果。通过编制文化产业发展，打造三河文化名片、更好的宣传推介三河文化。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编制规划数量</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反映编制规划的个数</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1个</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编制规划内容合格率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反映编制规划内容的合格情况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编制完成时间</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反映编制规划完成时效</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及时完成</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编制规划平均成本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反映编制规划的平均成本（万元/个）</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23万元/个</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促进全市文化发展稳步提升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反映编制规划带来的全市文化发展提升水平</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稳步提升</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市民满意度</w:t>
            </w:r>
          </w:p>
          <w:p>
            <w:pPr>
              <w:spacing w:line="300" w:lineRule="exact"/>
              <w:jc w:val="center"/>
              <w:rPr>
                <w:rFonts w:ascii="Times New Roman" w:hAnsi="Times New Roman" w:eastAsia="仿宋_GB2312" w:cs="Times New Roman"/>
              </w:rPr>
            </w:pP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文化产业规划促进文化发展带来的市民满意情况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公共文化服务体系建设经费绩效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通过补助资金的及时发放，保障农村公益电影放映工作的正常开展。通过补助资金的及时发放，保障群众观看电影的公益权益。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补助农村公益电影放映场次</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反映补助资金补助的农村公益电影放映场次</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4740场</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补助资金发放合格率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反映补助资金发放的合格率</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补助资金到位及时性</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反映补助资金到位及时性</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每场电影放映补助资金</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反映平均每场电影放映补助资金</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≤15元</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促进农村公益电影放映稳步发展</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促进农村公益电影放映稳步发展</w:t>
            </w:r>
          </w:p>
          <w:p>
            <w:pPr>
              <w:spacing w:line="300" w:lineRule="exact"/>
              <w:jc w:val="center"/>
              <w:rPr>
                <w:rFonts w:ascii="Times New Roman" w:hAnsi="Times New Roman" w:eastAsia="仿宋_GB2312" w:cs="Times New Roman"/>
              </w:rPr>
            </w:pP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稳步发展</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受益群众满意度</w:t>
            </w:r>
          </w:p>
          <w:p>
            <w:pPr>
              <w:spacing w:line="300" w:lineRule="exact"/>
              <w:jc w:val="center"/>
              <w:rPr>
                <w:rFonts w:ascii="Times New Roman" w:hAnsi="Times New Roman" w:eastAsia="仿宋_GB2312" w:cs="Times New Roman"/>
              </w:rPr>
            </w:pP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受益群众满意度</w:t>
            </w:r>
          </w:p>
          <w:p>
            <w:pPr>
              <w:spacing w:line="300" w:lineRule="exact"/>
              <w:jc w:val="center"/>
              <w:rPr>
                <w:rFonts w:ascii="Times New Roman" w:hAnsi="Times New Roman" w:eastAsia="仿宋_GB2312" w:cs="Times New Roman"/>
              </w:rPr>
            </w:pP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spacing w:line="300" w:lineRule="exact"/>
        <w:jc w:val="center"/>
        <w:rPr>
          <w:rFonts w:ascii="Times New Roman" w:hAnsi="Times New Roman" w:eastAsia="仿宋_GB2312" w:cs="Times New Roman"/>
        </w:rPr>
      </w:pPr>
    </w:p>
    <w:p>
      <w:pPr>
        <w:ind w:firstLine="42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lang w:eastAsia="zh-CN"/>
        </w:rPr>
        <w:tab/>
      </w:r>
      <w:r>
        <w:rPr>
          <w:rFonts w:hint="eastAsia" w:ascii="Times New Roman" w:hAnsi="Times New Roman" w:eastAsia="仿宋_GB2312" w:cs="Times New Roman"/>
          <w:sz w:val="28"/>
          <w:lang w:val="en-US" w:eastAsia="zh-CN"/>
        </w:rPr>
        <w:t>14</w:t>
      </w:r>
      <w:r>
        <w:rPr>
          <w:rFonts w:hint="eastAsia" w:ascii="Times New Roman" w:hAnsi="Times New Roman" w:eastAsia="仿宋_GB2312" w:cs="Times New Roman"/>
          <w:sz w:val="28"/>
          <w:lang w:eastAsia="zh-CN"/>
        </w:rPr>
        <w:t>.基层三馆一站免费开放运行保障经费绩效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通过免费开放专项资金的支持，保障图书馆、文化馆、文化站全部免费项社会公共开展基本公共文化服务</w:t>
            </w:r>
            <w:r>
              <w:rPr>
                <w:rFonts w:hint="eastAsia" w:ascii="Times New Roman" w:hAnsi="Times New Roman" w:eastAsia="仿宋_GB2312" w:cs="Times New Roman"/>
                <w:b/>
                <w:kern w:val="2"/>
                <w:sz w:val="21"/>
                <w:szCs w:val="22"/>
                <w:lang w:val="en-US" w:eastAsia="zh-CN" w:bidi="ar-SA"/>
              </w:rPr>
              <w:t>。</w:t>
            </w:r>
            <w:r>
              <w:rPr>
                <w:rFonts w:hint="eastAsia" w:ascii="Times New Roman" w:hAnsi="Times New Roman" w:eastAsia="仿宋_GB2312" w:cs="Times New Roman"/>
                <w:b/>
                <w:kern w:val="2"/>
                <w:sz w:val="21"/>
                <w:szCs w:val="22"/>
                <w:lang w:val="en-US" w:eastAsia="uk-UA" w:bidi="ar-SA"/>
              </w:rPr>
              <w:t>通过免费开放专项资金的支持，促进地方公共文化服务体系建设。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补助资金补助场馆数量</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反映补助资金补助场馆数量</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12个</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补助资金发放合格率</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反映补助资金发放合规情况</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补助资金发放及时性</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反映补助资金发放及时情况</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平均每个文化站补助资金成本</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反映每个文化站补助资金成本</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0.5万元</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免费开放水平稳步提升</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反映文化禅观免费开放水平提升情况</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稳步提升</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受益群众满意度</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受益群众满意度</w:t>
            </w:r>
          </w:p>
          <w:p>
            <w:pPr>
              <w:spacing w:line="300" w:lineRule="exact"/>
              <w:jc w:val="center"/>
              <w:rPr>
                <w:rFonts w:hint="eastAsia" w:ascii="Times New Roman" w:hAnsi="Times New Roman" w:eastAsia="仿宋_GB2312" w:cs="Times New Roman"/>
                <w:lang w:eastAsia="zh-CN"/>
              </w:rPr>
            </w:pP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hint="eastAsia" w:ascii="Times New Roman" w:hAnsi="Times New Roman" w:eastAsia="仿宋_GB2312" w:cs="Times New Roman"/>
          <w:sz w:val="28"/>
          <w:lang w:eastAsia="zh-CN"/>
        </w:rPr>
        <w:t>.中央-美术馆、公共图书馆、文化馆（站）免费开放补助资金绩效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通过补助资金的使用，达到促进图书馆、文化馆、文化站正常使用的目的。通过补助资金的使用，促进图书馆、文化馆、文化站免费开放水平提升。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补助的公共场馆个数</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反映补助资金补助的公共场馆个数</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12个</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补助资金发放合格率</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反映补助资金发放合格率</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补助资金发放的及时性</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反映补助资金发放的时间及时性</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每个文化站补助资金</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反映每个文化站的补助资金情况</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3万元/个</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每个文化场馆补助资金</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反映两个文化场馆平均每个文化场馆补助资金</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12万元/个</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免费开放场馆水平提升</w:t>
            </w:r>
          </w:p>
          <w:p>
            <w:pPr>
              <w:spacing w:line="300" w:lineRule="exact"/>
              <w:jc w:val="center"/>
              <w:rPr>
                <w:rFonts w:hint="eastAsia" w:ascii="Times New Roman" w:hAnsi="Times New Roman" w:eastAsia="仿宋_GB2312" w:cs="Times New Roman"/>
                <w:lang w:eastAsia="zh-CN"/>
              </w:rPr>
            </w:pP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反映免费开放场馆服务水平稳步提升情况</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稳步提升</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受益群众对免费开放场馆满意度</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受益群众对免费开放场馆满意度</w:t>
            </w:r>
          </w:p>
          <w:p>
            <w:pPr>
              <w:spacing w:line="300" w:lineRule="exact"/>
              <w:jc w:val="center"/>
              <w:rPr>
                <w:rFonts w:hint="eastAsia" w:ascii="Times New Roman" w:hAnsi="Times New Roman" w:eastAsia="仿宋_GB2312" w:cs="Times New Roman"/>
                <w:lang w:eastAsia="zh-CN"/>
              </w:rPr>
            </w:pP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调查问卷</w:t>
            </w:r>
          </w:p>
        </w:tc>
      </w:tr>
    </w:tbl>
    <w:p>
      <w:pPr>
        <w:tabs>
          <w:tab w:val="left" w:pos="698"/>
        </w:tabs>
        <w:spacing w:line="300" w:lineRule="exact"/>
        <w:jc w:val="left"/>
        <w:rPr>
          <w:rFonts w:hint="eastAsia" w:ascii="Times New Roman" w:hAnsi="Times New Roman" w:eastAsia="仿宋_GB2312" w:cs="Times New Roman"/>
          <w:lang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hint="eastAsia" w:ascii="Times New Roman" w:hAnsi="Times New Roman" w:eastAsia="仿宋_GB2312" w:cs="Times New Roman"/>
          <w:sz w:val="28"/>
          <w:lang w:eastAsia="zh-CN"/>
        </w:rPr>
        <w:t>.中央-中央支持地方公共文化服务体系建设补助资金（开展文化活动）绩效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9"/>
        <w:gridCol w:w="1512"/>
        <w:gridCol w:w="3312"/>
        <w:gridCol w:w="3432"/>
        <w:gridCol w:w="1272"/>
        <w:gridCol w:w="25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1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通过补助资金的发放，保障广大群众进行文化鉴赏，开展文化活动等基本文化权益。通过补助资金的发放，开展文化活动等基本文化权益。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3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5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1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331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补助资金补助的文化活动场次</w:t>
            </w:r>
          </w:p>
          <w:p>
            <w:pPr>
              <w:spacing w:line="300" w:lineRule="exact"/>
              <w:jc w:val="center"/>
              <w:rPr>
                <w:rFonts w:hint="eastAsia" w:ascii="Times New Roman" w:hAnsi="Times New Roman" w:eastAsia="仿宋_GB2312" w:cs="Times New Roman"/>
                <w:lang w:eastAsia="zh-CN"/>
              </w:rPr>
            </w:pPr>
          </w:p>
        </w:tc>
        <w:tc>
          <w:tcPr>
            <w:tcW w:w="343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反映补助资金补助的文化活动场次</w:t>
            </w:r>
          </w:p>
        </w:tc>
        <w:tc>
          <w:tcPr>
            <w:tcW w:w="127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≤10场</w:t>
            </w:r>
          </w:p>
        </w:tc>
        <w:tc>
          <w:tcPr>
            <w:tcW w:w="25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51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3312"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举办的文化活动资源合格率</w:t>
            </w:r>
          </w:p>
          <w:p>
            <w:pPr>
              <w:spacing w:line="300" w:lineRule="exact"/>
              <w:jc w:val="center"/>
              <w:rPr>
                <w:rFonts w:hint="eastAsia" w:ascii="Times New Roman" w:hAnsi="Times New Roman" w:eastAsia="仿宋_GB2312" w:cs="Times New Roman"/>
                <w:lang w:eastAsia="zh-CN"/>
              </w:rPr>
            </w:pPr>
          </w:p>
        </w:tc>
        <w:tc>
          <w:tcPr>
            <w:tcW w:w="343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反映举办的文化活动资源合格率</w:t>
            </w:r>
          </w:p>
        </w:tc>
        <w:tc>
          <w:tcPr>
            <w:tcW w:w="127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100百分比</w:t>
            </w:r>
          </w:p>
        </w:tc>
        <w:tc>
          <w:tcPr>
            <w:tcW w:w="25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51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3312"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补助资金补助的文化活动举办及时性</w:t>
            </w:r>
          </w:p>
          <w:p>
            <w:pPr>
              <w:spacing w:line="300" w:lineRule="exact"/>
              <w:jc w:val="center"/>
              <w:rPr>
                <w:rFonts w:hint="eastAsia" w:ascii="Times New Roman" w:hAnsi="Times New Roman" w:eastAsia="仿宋_GB2312" w:cs="Times New Roman"/>
                <w:lang w:eastAsia="zh-CN"/>
              </w:rPr>
            </w:pPr>
          </w:p>
        </w:tc>
        <w:tc>
          <w:tcPr>
            <w:tcW w:w="343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反映补助资金补助文化活动开展的时间</w:t>
            </w:r>
            <w:r>
              <w:rPr>
                <w:rFonts w:hint="eastAsia" w:ascii="Times New Roman" w:hAnsi="Times New Roman" w:eastAsia="仿宋_GB2312" w:cs="Times New Roman"/>
                <w:lang w:eastAsia="zh-CN"/>
              </w:rPr>
              <w:t>性</w:t>
            </w:r>
          </w:p>
        </w:tc>
        <w:tc>
          <w:tcPr>
            <w:tcW w:w="127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按时开展</w:t>
            </w:r>
          </w:p>
        </w:tc>
        <w:tc>
          <w:tcPr>
            <w:tcW w:w="25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51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3312"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平均每月举办文化活动所需成本</w:t>
            </w:r>
          </w:p>
          <w:p>
            <w:pPr>
              <w:spacing w:line="300" w:lineRule="exact"/>
              <w:jc w:val="center"/>
              <w:rPr>
                <w:rFonts w:hint="eastAsia" w:ascii="Times New Roman" w:hAnsi="Times New Roman" w:eastAsia="仿宋_GB2312" w:cs="Times New Roman"/>
                <w:lang w:eastAsia="zh-CN"/>
              </w:rPr>
            </w:pPr>
          </w:p>
        </w:tc>
        <w:tc>
          <w:tcPr>
            <w:tcW w:w="343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平均每月举办文化活动所需成本</w:t>
            </w:r>
          </w:p>
          <w:p>
            <w:pPr>
              <w:spacing w:line="300" w:lineRule="exact"/>
              <w:jc w:val="center"/>
              <w:rPr>
                <w:rFonts w:hint="eastAsia" w:ascii="Times New Roman" w:hAnsi="Times New Roman" w:eastAsia="仿宋_GB2312" w:cs="Times New Roman"/>
                <w:lang w:eastAsia="zh-CN"/>
              </w:rPr>
            </w:pPr>
          </w:p>
        </w:tc>
        <w:tc>
          <w:tcPr>
            <w:tcW w:w="127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≤24万元</w:t>
            </w:r>
          </w:p>
        </w:tc>
        <w:tc>
          <w:tcPr>
            <w:tcW w:w="25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194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1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3312"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促进群众文化生活稳步提升</w:t>
            </w:r>
          </w:p>
          <w:p>
            <w:pPr>
              <w:spacing w:line="300" w:lineRule="exact"/>
              <w:jc w:val="center"/>
              <w:rPr>
                <w:rFonts w:hint="eastAsia" w:ascii="Times New Roman" w:hAnsi="Times New Roman" w:eastAsia="仿宋_GB2312" w:cs="Times New Roman"/>
                <w:lang w:eastAsia="zh-CN"/>
              </w:rPr>
            </w:pPr>
          </w:p>
          <w:p>
            <w:pPr>
              <w:spacing w:line="300" w:lineRule="exact"/>
              <w:jc w:val="center"/>
              <w:rPr>
                <w:rFonts w:hint="eastAsia" w:ascii="Times New Roman" w:hAnsi="Times New Roman" w:eastAsia="仿宋_GB2312" w:cs="Times New Roman"/>
                <w:lang w:eastAsia="zh-CN"/>
              </w:rPr>
            </w:pPr>
          </w:p>
        </w:tc>
        <w:tc>
          <w:tcPr>
            <w:tcW w:w="343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反映促进群众文化生活稳步提升情况</w:t>
            </w:r>
          </w:p>
        </w:tc>
        <w:tc>
          <w:tcPr>
            <w:tcW w:w="127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稳步提升</w:t>
            </w:r>
          </w:p>
        </w:tc>
        <w:tc>
          <w:tcPr>
            <w:tcW w:w="25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4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1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3312"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受益群众满意度</w:t>
            </w:r>
          </w:p>
          <w:p>
            <w:pPr>
              <w:spacing w:line="300" w:lineRule="exact"/>
              <w:jc w:val="center"/>
              <w:rPr>
                <w:rFonts w:hint="eastAsia" w:ascii="Times New Roman" w:hAnsi="Times New Roman" w:eastAsia="仿宋_GB2312" w:cs="Times New Roman"/>
                <w:lang w:eastAsia="zh-CN"/>
              </w:rPr>
            </w:pPr>
          </w:p>
        </w:tc>
        <w:tc>
          <w:tcPr>
            <w:tcW w:w="343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反映受益群众满意度</w:t>
            </w:r>
          </w:p>
        </w:tc>
        <w:tc>
          <w:tcPr>
            <w:tcW w:w="127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≥90百分比</w:t>
            </w:r>
          </w:p>
        </w:tc>
        <w:tc>
          <w:tcPr>
            <w:tcW w:w="25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hint="eastAsia" w:ascii="Times New Roman" w:hAnsi="Times New Roman" w:eastAsia="仿宋_GB2312" w:cs="Times New Roman"/>
          <w:sz w:val="28"/>
          <w:lang w:eastAsia="zh-CN"/>
        </w:rPr>
        <w:t>.中央-中央支持地方公共文化服务体系建设补助资金（农村电影放映）绩效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hint="eastAsia" w:ascii="Times New Roman" w:hAnsi="Times New Roman" w:eastAsia="仿宋_GB2312" w:cs="Times New Roman"/>
                <w:b/>
                <w:kern w:val="2"/>
                <w:sz w:val="21"/>
                <w:szCs w:val="22"/>
                <w:lang w:val="en-US" w:eastAsia="uk-UA" w:bidi="ar-SA"/>
              </w:rPr>
              <w:t>通过补助资金的及时发放，保障农村公益电影放映工作的正常开展。通过补助资金的及时发放，保障群众享受电影放映公益权益。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补助农村公益电影放映场次</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反映补助资金补助的农村公益电影放映场次</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4740场</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补助资金发放合格率</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反映补助资金发放的合格率</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补助资金到位及时性</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反映补助资金到位及时性</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及时</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每场电影放映补助资金</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反映平均每场电影放映补助资金</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≤100元</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促进农村公益电影放映稳步发展</w:t>
            </w:r>
          </w:p>
          <w:p>
            <w:pPr>
              <w:spacing w:line="300" w:lineRule="exact"/>
              <w:jc w:val="center"/>
              <w:rPr>
                <w:rFonts w:hint="eastAsia" w:ascii="Times New Roman" w:hAnsi="Times New Roman" w:eastAsia="仿宋_GB2312" w:cs="Times New Roman"/>
                <w:lang w:eastAsia="zh-CN"/>
              </w:rPr>
            </w:pP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促进农村公益电影放映稳步发展</w:t>
            </w:r>
          </w:p>
          <w:p>
            <w:pPr>
              <w:spacing w:line="300" w:lineRule="exact"/>
              <w:jc w:val="center"/>
              <w:rPr>
                <w:rFonts w:hint="eastAsia" w:ascii="Times New Roman" w:hAnsi="Times New Roman" w:eastAsia="仿宋_GB2312" w:cs="Times New Roman"/>
                <w:lang w:eastAsia="zh-CN"/>
              </w:rPr>
            </w:pP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稳步发展</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受益群众满意度</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受益群众满意度</w:t>
            </w:r>
          </w:p>
          <w:p>
            <w:pPr>
              <w:spacing w:line="300" w:lineRule="exact"/>
              <w:jc w:val="center"/>
              <w:rPr>
                <w:rFonts w:hint="eastAsia" w:ascii="Times New Roman" w:hAnsi="Times New Roman" w:eastAsia="仿宋_GB2312" w:cs="Times New Roman"/>
                <w:lang w:eastAsia="zh-CN"/>
              </w:rPr>
            </w:pP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文保员工作经费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800"/>
        <w:gridCol w:w="2430"/>
        <w:gridCol w:w="385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78"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通过项目的开展使野外不可移动文物得到有效的监管和保护。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00" w:type="dxa"/>
            <w:shd w:val="clear" w:color="auto" w:fill="auto"/>
            <w:vAlign w:val="top"/>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2430" w:type="dxa"/>
            <w:shd w:val="clear" w:color="auto" w:fill="auto"/>
            <w:vAlign w:val="top"/>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文保员人数</w:t>
            </w:r>
          </w:p>
        </w:tc>
        <w:tc>
          <w:tcPr>
            <w:tcW w:w="385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发放劳务费人数情况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=21人</w:t>
            </w:r>
          </w:p>
        </w:tc>
        <w:tc>
          <w:tcPr>
            <w:tcW w:w="215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80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243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劳务费发放精准度</w:t>
            </w:r>
          </w:p>
        </w:tc>
        <w:tc>
          <w:tcPr>
            <w:tcW w:w="385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反应劳务费发放人员范围精准性和发放金额的准确性</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80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243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劳务费发放及时性</w:t>
            </w:r>
          </w:p>
        </w:tc>
        <w:tc>
          <w:tcPr>
            <w:tcW w:w="385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反应劳务费发放的实效情况</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80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243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rPr>
              <w:t>劳务费发放标准</w:t>
            </w:r>
          </w:p>
        </w:tc>
        <w:tc>
          <w:tcPr>
            <w:tcW w:w="385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反应劳务费发放标准</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600元/人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0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243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文保工作正常开展</w:t>
            </w:r>
          </w:p>
        </w:tc>
        <w:tc>
          <w:tcPr>
            <w:tcW w:w="385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通过按标准发放劳务费保障文物安全</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保障工作正常开展</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按实际布置工作要求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0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243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文保员满意度</w:t>
            </w:r>
          </w:p>
        </w:tc>
        <w:tc>
          <w:tcPr>
            <w:tcW w:w="385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反应文保员对劳务费发放的情况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文物保护经费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4"/>
        <w:gridCol w:w="1770"/>
        <w:gridCol w:w="2460"/>
        <w:gridCol w:w="382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48" w:type="dxa"/>
            <w:gridSpan w:val="5"/>
            <w:shd w:val="clear" w:color="auto" w:fill="auto"/>
            <w:vAlign w:val="center"/>
          </w:tcPr>
          <w:p>
            <w:pPr>
              <w:spacing w:line="300" w:lineRule="exact"/>
              <w:rPr>
                <w:rFonts w:hint="eastAsia" w:ascii="Times New Roman" w:hAnsi="Times New Roman" w:eastAsia="仿宋_GB2312" w:cs="Times New Roman"/>
                <w:b/>
                <w:lang w:eastAsia="zh-CN"/>
              </w:rPr>
            </w:pPr>
            <w:r>
              <w:rPr>
                <w:rFonts w:hint="eastAsia" w:ascii="Times New Roman" w:hAnsi="Times New Roman" w:eastAsia="仿宋_GB2312" w:cs="Times New Roman"/>
                <w:b/>
              </w:rPr>
              <w:t>主要用于征集散落在民间的、市民主动上交的和在基本建设工程中出土的具有一定历史文化收藏价值的文物，使文物得到有效的保护。在每年6月份举办中国文化和自然遗产日宣传活动，增强民众的文物保护意识及法律意识</w:t>
            </w:r>
            <w:r>
              <w:rPr>
                <w:rFonts w:hint="eastAsia" w:ascii="Times New Roman" w:hAnsi="Times New Roman" w:eastAsia="仿宋_GB2312" w:cs="Times New Roman"/>
                <w:b/>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70" w:type="dxa"/>
            <w:shd w:val="clear" w:color="auto" w:fill="auto"/>
            <w:vAlign w:val="top"/>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征集文物及近现代当代作品数量</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征集文物及近现代当代作品数量</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10件</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实际征集文物件数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70" w:type="dxa"/>
            <w:shd w:val="clear" w:color="auto" w:fill="auto"/>
            <w:vAlign w:val="top"/>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文物保护宣传条幅数量</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悬挂宣传口号条幅</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10幅</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2" w:hRule="atLeast"/>
          <w:jc w:val="center"/>
        </w:trPr>
        <w:tc>
          <w:tcPr>
            <w:tcW w:w="201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7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征集文物质量合格率</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文物质量合格情况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实际征集文物件数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7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相关工作完成率</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按固定时间开展</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7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奖励发放及时率</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奖励发放时间</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7天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捐赠奖励协议书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7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宣传工作开展及时性</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宣传工作开展时间</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7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单件文物奖励费用</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单件文物奖励情况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0.2万元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捐赠奖励协议书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 w:hRule="atLeast"/>
          <w:jc w:val="center"/>
        </w:trPr>
        <w:tc>
          <w:tcPr>
            <w:tcW w:w="201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7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宣传资料成本情况</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宣传资料成本情况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材料制作合同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7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文物得到有效保护</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通过征集使文物得到有效保护</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保护文物</w:t>
            </w:r>
          </w:p>
        </w:tc>
        <w:tc>
          <w:tcPr>
            <w:tcW w:w="215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7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提高公众对文物保护的认知度</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通过宣传增强公众对文物保护意识</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提高公众认知</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按上级文件要求开展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70" w:type="dxa"/>
            <w:vMerge w:val="restart"/>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主动上交文物者满意度</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主动上交文物者满意情况</w:t>
            </w:r>
          </w:p>
        </w:tc>
        <w:tc>
          <w:tcPr>
            <w:tcW w:w="1843" w:type="dxa"/>
            <w:shd w:val="clear" w:color="auto" w:fill="auto"/>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14"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70" w:type="dxa"/>
            <w:vMerge w:val="continue"/>
            <w:shd w:val="clear" w:color="auto" w:fill="auto"/>
            <w:vAlign w:val="center"/>
          </w:tcPr>
          <w:p>
            <w:pPr>
              <w:spacing w:line="300" w:lineRule="exact"/>
              <w:jc w:val="center"/>
              <w:rPr>
                <w:rFonts w:hint="eastAsia" w:ascii="Times New Roman" w:hAnsi="Times New Roman" w:eastAsia="仿宋_GB2312" w:cs="Times New Roman"/>
              </w:rPr>
            </w:pPr>
          </w:p>
        </w:tc>
        <w:tc>
          <w:tcPr>
            <w:tcW w:w="246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参与公众满意度</w:t>
            </w:r>
          </w:p>
        </w:tc>
        <w:tc>
          <w:tcPr>
            <w:tcW w:w="3820"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参与公众对专题展览效果的满意度情况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90%</w:t>
            </w:r>
          </w:p>
        </w:tc>
        <w:tc>
          <w:tcPr>
            <w:tcW w:w="215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.文化馆公共文化服务体系本级配套资金，文化艺术活动及展览展示经费绩效目标表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hint="eastAsia" w:ascii="Times New Roman" w:hAnsi="Times New Roman" w:eastAsia="仿宋_GB2312" w:cs="Times New Roman"/>
                <w:b/>
                <w:bCs/>
                <w:kern w:val="2"/>
                <w:sz w:val="21"/>
                <w:szCs w:val="22"/>
                <w:lang w:val="en-US" w:eastAsia="zh-CN" w:bidi="ar-SA"/>
              </w:rPr>
              <w:t>通过开展免费开放活动，使全市基本公共文化服务标准化、均等化。通过开展免费开放活动，提高我市文化水平，使我市文化作品不断产生和提高。通过开展免费开放活动，提高我市文化水平，使我市文化作品不断产生和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免费开放活动数量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免费开放活动数量</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10场</w:t>
            </w:r>
          </w:p>
        </w:tc>
        <w:tc>
          <w:tcPr>
            <w:tcW w:w="2155"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免费开放活动正常运转率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免费开放活动正常运转</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100百分比</w:t>
            </w:r>
          </w:p>
        </w:tc>
        <w:tc>
          <w:tcPr>
            <w:tcW w:w="2155"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活动按时完成率</w:t>
            </w:r>
          </w:p>
        </w:tc>
        <w:tc>
          <w:tcPr>
            <w:tcW w:w="340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反映活动是否按时完成</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100百分比</w:t>
            </w:r>
          </w:p>
        </w:tc>
        <w:tc>
          <w:tcPr>
            <w:tcW w:w="2155"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单场活动成本</w:t>
            </w:r>
          </w:p>
        </w:tc>
        <w:tc>
          <w:tcPr>
            <w:tcW w:w="340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反映单场活动成本</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1万元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观众人次</w:t>
            </w:r>
          </w:p>
        </w:tc>
        <w:tc>
          <w:tcPr>
            <w:tcW w:w="3402"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反映演出活动观众人次</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≥20000人次</w:t>
            </w:r>
          </w:p>
        </w:tc>
        <w:tc>
          <w:tcPr>
            <w:tcW w:w="2155" w:type="dxa"/>
            <w:shd w:val="clear" w:color="auto" w:fill="auto"/>
            <w:vAlign w:val="center"/>
          </w:tcPr>
          <w:p>
            <w:pPr>
              <w:spacing w:line="300" w:lineRule="exact"/>
              <w:jc w:val="center"/>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活动照片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群众满意度</w:t>
            </w:r>
          </w:p>
        </w:tc>
        <w:tc>
          <w:tcPr>
            <w:tcW w:w="1843"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≥90百分比</w:t>
            </w:r>
          </w:p>
        </w:tc>
        <w:tc>
          <w:tcPr>
            <w:tcW w:w="2155"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满意度调查表</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.文化活动经费绩效目标表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08"/>
        <w:gridCol w:w="214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ascii="Times New Roman" w:hAnsi="Times New Roman" w:eastAsia="仿宋_GB2312" w:cs="Times New Roman"/>
                <w:b/>
                <w:bCs/>
                <w:kern w:val="2"/>
                <w:sz w:val="21"/>
                <w:szCs w:val="22"/>
                <w:lang w:val="en-US" w:eastAsia="zh-CN" w:bidi="ar-SA"/>
              </w:rPr>
              <w:t>通过各类培训、展览展示活动，提高我市文化水平，使我市文化作品不断产生和提高，使全市基本公共文化服务标准化、均等化。通过举办各种比赛，使我市专业艺术创作生产能力不断提高。通过举办各种比赛，使我市专业艺术创作生产能力不断提高</w:t>
            </w:r>
            <w:r>
              <w:rPr>
                <w:rFonts w:ascii="Times New Roman" w:hAnsi="Times New Roman" w:eastAsia="仿宋_GB2312" w:cs="Times New Roman"/>
                <w:kern w:val="2"/>
                <w:sz w:val="21"/>
                <w:szCs w:val="22"/>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0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0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数量指标</w:t>
            </w:r>
          </w:p>
        </w:tc>
        <w:tc>
          <w:tcPr>
            <w:tcW w:w="214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举办免费开放文化活动次数</w:t>
            </w:r>
          </w:p>
          <w:p>
            <w:pPr>
              <w:spacing w:line="300" w:lineRule="exact"/>
              <w:jc w:val="center"/>
              <w:rPr>
                <w:rFonts w:ascii="Times New Roman" w:hAnsi="Times New Roman" w:eastAsia="仿宋_GB2312" w:cs="Times New Roman"/>
                <w:lang w:val="en-US" w:eastAsia="zh-CN"/>
              </w:rPr>
            </w:pP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举办免费开放文化活动次数</w:t>
            </w:r>
          </w:p>
          <w:p>
            <w:pPr>
              <w:spacing w:line="300" w:lineRule="exact"/>
              <w:jc w:val="center"/>
              <w:rPr>
                <w:rFonts w:ascii="Times New Roman" w:hAnsi="Times New Roman" w:eastAsia="仿宋_GB2312" w:cs="Times New Roman"/>
                <w:lang w:val="en-US" w:eastAsia="zh-CN"/>
              </w:rPr>
            </w:pP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≥24次</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0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质量指标</w:t>
            </w:r>
          </w:p>
        </w:tc>
        <w:tc>
          <w:tcPr>
            <w:tcW w:w="214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保障全年活动正常运转率</w:t>
            </w:r>
          </w:p>
          <w:p>
            <w:pPr>
              <w:spacing w:line="300" w:lineRule="exact"/>
              <w:jc w:val="center"/>
              <w:rPr>
                <w:rFonts w:ascii="Times New Roman" w:hAnsi="Times New Roman" w:eastAsia="仿宋_GB2312" w:cs="Times New Roman"/>
                <w:lang w:val="en-US" w:eastAsia="zh-CN"/>
              </w:rPr>
            </w:pP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保障全年活动正常运转</w:t>
            </w:r>
          </w:p>
          <w:p>
            <w:pPr>
              <w:spacing w:line="300" w:lineRule="exact"/>
              <w:jc w:val="center"/>
              <w:rPr>
                <w:rFonts w:ascii="Times New Roman" w:hAnsi="Times New Roman" w:eastAsia="仿宋_GB2312" w:cs="Times New Roman"/>
                <w:lang w:val="en-US" w:eastAsia="zh-CN"/>
              </w:rPr>
            </w:pP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0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时效指标</w:t>
            </w:r>
          </w:p>
        </w:tc>
        <w:tc>
          <w:tcPr>
            <w:tcW w:w="214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文化活动是否按时完成</w:t>
            </w:r>
            <w:r>
              <w:rPr>
                <w:rFonts w:hint="eastAsia" w:ascii="Times New Roman" w:hAnsi="Times New Roman" w:eastAsia="仿宋_GB2312" w:cs="Times New Roman"/>
                <w:lang w:val="en-US" w:eastAsia="zh-CN"/>
              </w:rPr>
              <w:t>率</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反映文化活动是否按时完成</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0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成本指标</w:t>
            </w:r>
          </w:p>
        </w:tc>
        <w:tc>
          <w:tcPr>
            <w:tcW w:w="214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单项文化活动成本</w:t>
            </w:r>
          </w:p>
          <w:p>
            <w:pPr>
              <w:spacing w:line="300" w:lineRule="exact"/>
              <w:jc w:val="center"/>
              <w:rPr>
                <w:rFonts w:ascii="Times New Roman" w:hAnsi="Times New Roman" w:eastAsia="仿宋_GB2312" w:cs="Times New Roman"/>
                <w:lang w:val="en-US" w:eastAsia="zh-CN"/>
              </w:rPr>
            </w:pP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反映</w:t>
            </w:r>
            <w:r>
              <w:rPr>
                <w:rFonts w:ascii="Times New Roman" w:hAnsi="Times New Roman" w:eastAsia="仿宋_GB2312" w:cs="Times New Roman"/>
                <w:lang w:val="en-US" w:eastAsia="zh-CN"/>
              </w:rPr>
              <w:t>单项文化活动成本</w:t>
            </w:r>
          </w:p>
          <w:p>
            <w:pPr>
              <w:spacing w:line="300" w:lineRule="exact"/>
              <w:jc w:val="center"/>
              <w:rPr>
                <w:rFonts w:ascii="Times New Roman" w:hAnsi="Times New Roman" w:eastAsia="仿宋_GB2312" w:cs="Times New Roman"/>
                <w:lang w:val="en-US" w:eastAsia="zh-CN"/>
              </w:rPr>
            </w:pP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≤2万元</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0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社会效益指标</w:t>
            </w:r>
          </w:p>
        </w:tc>
        <w:tc>
          <w:tcPr>
            <w:tcW w:w="214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观展人次</w:t>
            </w:r>
          </w:p>
          <w:p>
            <w:pPr>
              <w:spacing w:line="300" w:lineRule="exact"/>
              <w:jc w:val="center"/>
              <w:rPr>
                <w:rFonts w:ascii="Times New Roman" w:hAnsi="Times New Roman" w:eastAsia="仿宋_GB2312" w:cs="Times New Roman"/>
                <w:lang w:val="en-US" w:eastAsia="zh-CN"/>
              </w:rPr>
            </w:pP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反映展览活动参展人次</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≥5000人次</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活动照片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0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服务对象满意度指标</w:t>
            </w:r>
          </w:p>
        </w:tc>
        <w:tc>
          <w:tcPr>
            <w:tcW w:w="214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群众满意度</w:t>
            </w:r>
          </w:p>
          <w:p>
            <w:pPr>
              <w:spacing w:line="300" w:lineRule="exact"/>
              <w:jc w:val="center"/>
              <w:rPr>
                <w:rFonts w:ascii="Times New Roman" w:hAnsi="Times New Roman" w:eastAsia="仿宋_GB2312" w:cs="Times New Roman"/>
                <w:lang w:val="en-US" w:eastAsia="zh-CN"/>
              </w:rPr>
            </w:pP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群众满意度</w:t>
            </w:r>
          </w:p>
          <w:p>
            <w:pPr>
              <w:spacing w:line="300" w:lineRule="exact"/>
              <w:jc w:val="center"/>
              <w:rPr>
                <w:rFonts w:ascii="Times New Roman" w:hAnsi="Times New Roman" w:eastAsia="仿宋_GB2312" w:cs="Times New Roman"/>
                <w:lang w:val="en-US" w:eastAsia="zh-CN"/>
              </w:rPr>
            </w:pP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满意度调查表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.流动服务车运行经费绩效目标表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7"/>
        <w:gridCol w:w="2160"/>
        <w:gridCol w:w="2160"/>
        <w:gridCol w:w="2916"/>
        <w:gridCol w:w="1836"/>
        <w:gridCol w:w="3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5" w:type="dxa"/>
            <w:gridSpan w:val="5"/>
            <w:shd w:val="clear" w:color="auto" w:fill="auto"/>
            <w:vAlign w:val="center"/>
          </w:tcPr>
          <w:p>
            <w:pPr>
              <w:pStyle w:val="14"/>
              <w:rPr>
                <w:rFonts w:ascii="Times New Roman" w:hAnsi="Times New Roman" w:eastAsia="仿宋_GB2312" w:cs="Times New Roman"/>
                <w:b/>
                <w:bCs/>
                <w:kern w:val="2"/>
                <w:sz w:val="21"/>
                <w:szCs w:val="22"/>
                <w:lang w:val="en-US" w:eastAsia="zh-CN" w:bidi="ar-SA"/>
              </w:rPr>
            </w:pPr>
            <w:r>
              <w:rPr>
                <w:rFonts w:ascii="Times New Roman" w:hAnsi="Times New Roman" w:eastAsia="仿宋_GB2312" w:cs="Times New Roman"/>
                <w:b/>
                <w:bCs/>
                <w:kern w:val="2"/>
                <w:sz w:val="21"/>
                <w:szCs w:val="22"/>
                <w:lang w:val="en-US" w:eastAsia="zh-CN" w:bidi="ar-SA"/>
              </w:rPr>
              <w:t>通过流动服务车正常运行，保障各项群众文化活动顺利开展。通过保障各项群众文化活动顺利开展，提高我市文化水平，使全市基本公共文化服务标准化、均等化。通过保障各项群众文化活动顺利开展，提高我市文化水平，使全市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1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数量指标</w:t>
            </w: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出车次数</w:t>
            </w:r>
          </w:p>
          <w:p>
            <w:pPr>
              <w:spacing w:line="300" w:lineRule="exact"/>
              <w:jc w:val="center"/>
              <w:rPr>
                <w:rFonts w:ascii="Times New Roman" w:hAnsi="Times New Roman" w:eastAsia="仿宋_GB2312" w:cs="Times New Roman"/>
                <w:lang w:val="en-US" w:eastAsia="zh-CN"/>
              </w:rPr>
            </w:pPr>
          </w:p>
        </w:tc>
        <w:tc>
          <w:tcPr>
            <w:tcW w:w="2916"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反映流动服务车出车次数</w:t>
            </w:r>
          </w:p>
        </w:tc>
        <w:tc>
          <w:tcPr>
            <w:tcW w:w="1836"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≤130次</w:t>
            </w:r>
          </w:p>
        </w:tc>
        <w:tc>
          <w:tcPr>
            <w:tcW w:w="323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文财务发【2011】5号文件。河北省财政厅冀财教[2007]24号、25号、26号《河北省财政厅转发财政部关于落实公益性文化设施向未成年人开放财税政策通知的通知》的文件精神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质量指标</w:t>
            </w: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保障车辆正常运转率</w:t>
            </w:r>
          </w:p>
          <w:p>
            <w:pPr>
              <w:spacing w:line="300" w:lineRule="exact"/>
              <w:jc w:val="center"/>
              <w:rPr>
                <w:rFonts w:ascii="Times New Roman" w:hAnsi="Times New Roman" w:eastAsia="仿宋_GB2312" w:cs="Times New Roman"/>
                <w:lang w:val="en-US" w:eastAsia="zh-CN"/>
              </w:rPr>
            </w:pPr>
          </w:p>
        </w:tc>
        <w:tc>
          <w:tcPr>
            <w:tcW w:w="2916"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保障车辆正常运转</w:t>
            </w:r>
          </w:p>
          <w:p>
            <w:pPr>
              <w:spacing w:line="300" w:lineRule="exact"/>
              <w:jc w:val="center"/>
              <w:rPr>
                <w:rFonts w:ascii="Times New Roman" w:hAnsi="Times New Roman" w:eastAsia="仿宋_GB2312" w:cs="Times New Roman"/>
                <w:lang w:val="en-US" w:eastAsia="zh-CN"/>
              </w:rPr>
            </w:pPr>
          </w:p>
        </w:tc>
        <w:tc>
          <w:tcPr>
            <w:tcW w:w="1836"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100百分比</w:t>
            </w:r>
          </w:p>
        </w:tc>
        <w:tc>
          <w:tcPr>
            <w:tcW w:w="323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派车单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时效指标</w:t>
            </w: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全年1-12月完成</w:t>
            </w:r>
          </w:p>
          <w:p>
            <w:pPr>
              <w:spacing w:line="300" w:lineRule="exact"/>
              <w:jc w:val="center"/>
              <w:rPr>
                <w:rFonts w:ascii="Times New Roman" w:hAnsi="Times New Roman" w:eastAsia="仿宋_GB2312" w:cs="Times New Roman"/>
                <w:lang w:val="en-US" w:eastAsia="zh-CN"/>
              </w:rPr>
            </w:pPr>
          </w:p>
        </w:tc>
        <w:tc>
          <w:tcPr>
            <w:tcW w:w="2916"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全年1-12月完成</w:t>
            </w:r>
          </w:p>
          <w:p>
            <w:pPr>
              <w:spacing w:line="300" w:lineRule="exact"/>
              <w:jc w:val="center"/>
              <w:rPr>
                <w:rFonts w:ascii="Times New Roman" w:hAnsi="Times New Roman" w:eastAsia="仿宋_GB2312" w:cs="Times New Roman"/>
                <w:lang w:val="en-US" w:eastAsia="zh-CN"/>
              </w:rPr>
            </w:pPr>
          </w:p>
        </w:tc>
        <w:tc>
          <w:tcPr>
            <w:tcW w:w="1836"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100百分比</w:t>
            </w:r>
          </w:p>
        </w:tc>
        <w:tc>
          <w:tcPr>
            <w:tcW w:w="323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成本指标</w:t>
            </w: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每次出车所需成本</w:t>
            </w:r>
          </w:p>
          <w:p>
            <w:pPr>
              <w:spacing w:line="300" w:lineRule="exact"/>
              <w:jc w:val="center"/>
              <w:rPr>
                <w:rFonts w:ascii="Times New Roman" w:hAnsi="Times New Roman" w:eastAsia="仿宋_GB2312" w:cs="Times New Roman"/>
                <w:lang w:val="en-US" w:eastAsia="zh-CN"/>
              </w:rPr>
            </w:pPr>
          </w:p>
        </w:tc>
        <w:tc>
          <w:tcPr>
            <w:tcW w:w="2916"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反映每次出车所需成本</w:t>
            </w:r>
          </w:p>
        </w:tc>
        <w:tc>
          <w:tcPr>
            <w:tcW w:w="1836"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≥539元</w:t>
            </w:r>
          </w:p>
        </w:tc>
        <w:tc>
          <w:tcPr>
            <w:tcW w:w="323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社会效益指标</w:t>
            </w: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保障率</w:t>
            </w:r>
          </w:p>
          <w:p>
            <w:pPr>
              <w:spacing w:line="300" w:lineRule="exact"/>
              <w:jc w:val="center"/>
              <w:rPr>
                <w:rFonts w:ascii="Times New Roman" w:hAnsi="Times New Roman" w:eastAsia="仿宋_GB2312" w:cs="Times New Roman"/>
                <w:lang w:val="en-US" w:eastAsia="zh-CN"/>
              </w:rPr>
            </w:pPr>
          </w:p>
        </w:tc>
        <w:tc>
          <w:tcPr>
            <w:tcW w:w="2916"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实际服务次数/计划服务次数</w:t>
            </w:r>
          </w:p>
        </w:tc>
        <w:tc>
          <w:tcPr>
            <w:tcW w:w="1836"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100百分比</w:t>
            </w:r>
          </w:p>
        </w:tc>
        <w:tc>
          <w:tcPr>
            <w:tcW w:w="323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派车单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服务对象满意度指标</w:t>
            </w:r>
          </w:p>
        </w:tc>
        <w:tc>
          <w:tcPr>
            <w:tcW w:w="2160"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群众满意度</w:t>
            </w:r>
          </w:p>
          <w:p>
            <w:pPr>
              <w:spacing w:line="300" w:lineRule="exact"/>
              <w:jc w:val="center"/>
              <w:rPr>
                <w:rFonts w:ascii="Times New Roman" w:hAnsi="Times New Roman" w:eastAsia="仿宋_GB2312" w:cs="Times New Roman"/>
                <w:lang w:val="en-US" w:eastAsia="zh-CN"/>
              </w:rPr>
            </w:pPr>
          </w:p>
        </w:tc>
        <w:tc>
          <w:tcPr>
            <w:tcW w:w="2916"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群众满意度</w:t>
            </w:r>
          </w:p>
          <w:p>
            <w:pPr>
              <w:spacing w:line="300" w:lineRule="exact"/>
              <w:jc w:val="center"/>
              <w:rPr>
                <w:rFonts w:ascii="Times New Roman" w:hAnsi="Times New Roman" w:eastAsia="仿宋_GB2312" w:cs="Times New Roman"/>
                <w:lang w:val="en-US" w:eastAsia="zh-CN"/>
              </w:rPr>
            </w:pPr>
          </w:p>
        </w:tc>
        <w:tc>
          <w:tcPr>
            <w:tcW w:w="1836"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≥90百分比</w:t>
            </w:r>
          </w:p>
        </w:tc>
        <w:tc>
          <w:tcPr>
            <w:tcW w:w="3233"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满意度调查表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.非物质文化遗产保护专项资金绩效目标表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84"/>
        <w:gridCol w:w="2412"/>
        <w:gridCol w:w="3684"/>
        <w:gridCol w:w="131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ascii="Times New Roman" w:hAnsi="Times New Roman" w:eastAsia="仿宋_GB2312" w:cs="Times New Roman"/>
                <w:b/>
                <w:bCs/>
                <w:kern w:val="2"/>
                <w:sz w:val="21"/>
                <w:szCs w:val="22"/>
                <w:lang w:val="en-US" w:eastAsia="zh-CN" w:bidi="ar-SA"/>
              </w:rPr>
              <w:t>通过省级代表性传承人开展传习活动，推动非遗传承保护。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84"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数量指标</w:t>
            </w:r>
          </w:p>
        </w:tc>
        <w:tc>
          <w:tcPr>
            <w:tcW w:w="241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补助省级代表性传承人传习活动人数</w:t>
            </w:r>
          </w:p>
          <w:p>
            <w:pPr>
              <w:spacing w:line="300" w:lineRule="exact"/>
              <w:jc w:val="center"/>
              <w:rPr>
                <w:rFonts w:ascii="Times New Roman" w:hAnsi="Times New Roman" w:eastAsia="仿宋_GB2312" w:cs="Times New Roman"/>
                <w:lang w:val="en-US" w:eastAsia="zh-CN"/>
              </w:rPr>
            </w:pPr>
          </w:p>
        </w:tc>
        <w:tc>
          <w:tcPr>
            <w:tcW w:w="3684"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反映补助省级代表性传承人传习活动人数</w:t>
            </w:r>
          </w:p>
        </w:tc>
        <w:tc>
          <w:tcPr>
            <w:tcW w:w="131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1人</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084"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质量指标</w:t>
            </w:r>
          </w:p>
        </w:tc>
        <w:tc>
          <w:tcPr>
            <w:tcW w:w="241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省级代表性传承人传习活动补助发放到位率</w:t>
            </w:r>
          </w:p>
          <w:p>
            <w:pPr>
              <w:spacing w:line="300" w:lineRule="exact"/>
              <w:jc w:val="center"/>
              <w:rPr>
                <w:rFonts w:ascii="Times New Roman" w:hAnsi="Times New Roman" w:eastAsia="仿宋_GB2312" w:cs="Times New Roman"/>
                <w:lang w:val="en-US" w:eastAsia="zh-CN"/>
              </w:rPr>
            </w:pPr>
          </w:p>
        </w:tc>
        <w:tc>
          <w:tcPr>
            <w:tcW w:w="3684"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反映省级代表性传承人传习活动补助发放到位率</w:t>
            </w:r>
          </w:p>
        </w:tc>
        <w:tc>
          <w:tcPr>
            <w:tcW w:w="131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084"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时效指标</w:t>
            </w:r>
          </w:p>
        </w:tc>
        <w:tc>
          <w:tcPr>
            <w:tcW w:w="241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全年1-12月完成</w:t>
            </w:r>
          </w:p>
          <w:p>
            <w:pPr>
              <w:spacing w:line="300" w:lineRule="exact"/>
              <w:jc w:val="center"/>
              <w:rPr>
                <w:rFonts w:ascii="Times New Roman" w:hAnsi="Times New Roman" w:eastAsia="仿宋_GB2312" w:cs="Times New Roman"/>
                <w:lang w:val="en-US" w:eastAsia="zh-CN"/>
              </w:rPr>
            </w:pPr>
          </w:p>
        </w:tc>
        <w:tc>
          <w:tcPr>
            <w:tcW w:w="3684"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全年1-12月完成100%</w:t>
            </w:r>
          </w:p>
        </w:tc>
        <w:tc>
          <w:tcPr>
            <w:tcW w:w="131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084"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成本指标</w:t>
            </w:r>
          </w:p>
        </w:tc>
        <w:tc>
          <w:tcPr>
            <w:tcW w:w="241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非物质文化遗产保护单个成本</w:t>
            </w:r>
          </w:p>
          <w:p>
            <w:pPr>
              <w:spacing w:line="300" w:lineRule="exact"/>
              <w:jc w:val="center"/>
              <w:rPr>
                <w:rFonts w:ascii="Times New Roman" w:hAnsi="Times New Roman" w:eastAsia="仿宋_GB2312" w:cs="Times New Roman"/>
                <w:lang w:val="en-US" w:eastAsia="zh-CN"/>
              </w:rPr>
            </w:pPr>
          </w:p>
        </w:tc>
        <w:tc>
          <w:tcPr>
            <w:tcW w:w="3684"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反映非物质文化遗产保护单个成本</w:t>
            </w:r>
          </w:p>
        </w:tc>
        <w:tc>
          <w:tcPr>
            <w:tcW w:w="131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≤0.6万元</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84"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社会效益指标</w:t>
            </w:r>
          </w:p>
        </w:tc>
        <w:tc>
          <w:tcPr>
            <w:tcW w:w="241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非遗传承人群增长率</w:t>
            </w:r>
          </w:p>
          <w:p>
            <w:pPr>
              <w:spacing w:line="300" w:lineRule="exact"/>
              <w:jc w:val="center"/>
              <w:rPr>
                <w:rFonts w:ascii="Times New Roman" w:hAnsi="Times New Roman" w:eastAsia="仿宋_GB2312" w:cs="Times New Roman"/>
                <w:lang w:val="en-US" w:eastAsia="zh-CN"/>
              </w:rPr>
            </w:pPr>
          </w:p>
        </w:tc>
        <w:tc>
          <w:tcPr>
            <w:tcW w:w="3684"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反映非遗传承人群增长率</w:t>
            </w:r>
          </w:p>
        </w:tc>
        <w:tc>
          <w:tcPr>
            <w:tcW w:w="131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活动资料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84"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服务对象满意度指标</w:t>
            </w:r>
          </w:p>
        </w:tc>
        <w:tc>
          <w:tcPr>
            <w:tcW w:w="241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社会公众对非物质文化遗产保护满意度</w:t>
            </w:r>
          </w:p>
          <w:p>
            <w:pPr>
              <w:spacing w:line="300" w:lineRule="exact"/>
              <w:jc w:val="center"/>
              <w:rPr>
                <w:rFonts w:ascii="Times New Roman" w:hAnsi="Times New Roman" w:eastAsia="仿宋_GB2312" w:cs="Times New Roman"/>
                <w:lang w:val="en-US" w:eastAsia="zh-CN"/>
              </w:rPr>
            </w:pPr>
          </w:p>
        </w:tc>
        <w:tc>
          <w:tcPr>
            <w:tcW w:w="3684"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lang w:val="en-US" w:eastAsia="zh-CN"/>
              </w:rPr>
              <w:t>反映社会公众对非物质文化遗产保护满意度</w:t>
            </w:r>
          </w:p>
        </w:tc>
        <w:tc>
          <w:tcPr>
            <w:tcW w:w="1318"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uk-UA"/>
              </w:rPr>
            </w:pPr>
            <w:r>
              <w:rPr>
                <w:rFonts w:ascii="Times New Roman" w:hAnsi="Times New Roman" w:eastAsia="仿宋_GB2312" w:cs="Times New Roman"/>
                <w:lang w:val="en-US" w:eastAsia="zh-CN"/>
              </w:rPr>
              <w:t>满意度调查表</w:t>
            </w:r>
          </w:p>
        </w:tc>
      </w:tr>
    </w:tbl>
    <w:p>
      <w:pPr>
        <w:ind w:firstLine="640" w:firstLineChars="200"/>
        <w:jc w:val="left"/>
        <w:outlineLvl w:val="1"/>
        <w:rPr>
          <w:rFonts w:ascii="仿宋_GB2312" w:eastAsia="仿宋_GB2312" w:cs="Times New Roman"/>
          <w:sz w:val="32"/>
          <w:szCs w:val="32"/>
        </w:rPr>
      </w:pPr>
      <w:r>
        <w:rPr>
          <w:rFonts w:hint="eastAsia" w:ascii="仿宋_GB2312" w:eastAsia="仿宋_GB2312" w:cs="Times New Roman"/>
          <w:sz w:val="32"/>
          <w:szCs w:val="32"/>
          <w:lang w:val="en-US" w:eastAsia="zh-CN"/>
        </w:rPr>
        <w:t>24</w:t>
      </w:r>
      <w:r>
        <w:rPr>
          <w:rFonts w:ascii="仿宋_GB2312" w:eastAsia="仿宋_GB2312" w:cs="Times New Roman"/>
          <w:sz w:val="32"/>
          <w:szCs w:val="32"/>
        </w:rPr>
        <w:t>. 公共文化服务体系本级配套经费绩效目标表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7"/>
        <w:gridCol w:w="1701"/>
        <w:gridCol w:w="2924"/>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3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绩效目标</w:t>
            </w:r>
          </w:p>
        </w:tc>
        <w:tc>
          <w:tcPr>
            <w:tcW w:w="12025"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b/>
                <w:bCs/>
              </w:rPr>
              <w:t>通过对读者开展免费服务，达到提升全民素质水平的目的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3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一级指标</w:t>
            </w:r>
          </w:p>
        </w:tc>
        <w:tc>
          <w:tcPr>
            <w:tcW w:w="17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292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292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人数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服务读者采购的工作人数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≤6人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文财务发【2011】5号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7"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2924"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完成率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读者工作培训次数、服务读者采购工作完成情况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参照往年执行情况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7"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2924"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完成时限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读者工作培训、服务读者采购一年内完成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参照往年执行情况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7"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2924"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免费服务单位成本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读者证制作单位成本</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≤8.5元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924"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提升全市阅读水平</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通过图书馆服务活动达到提升阅读水平的效果</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显著提高</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进馆登记表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3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0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924"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对来馆读者进行服务满意度调查</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满意度调查表</w:t>
            </w:r>
          </w:p>
        </w:tc>
      </w:tr>
    </w:tbl>
    <w:p>
      <w:pPr>
        <w:ind w:firstLine="640" w:firstLineChars="200"/>
        <w:jc w:val="left"/>
        <w:outlineLvl w:val="1"/>
        <w:rPr>
          <w:rFonts w:ascii="仿宋_GB2312" w:eastAsia="仿宋_GB2312" w:cs="Times New Roman"/>
          <w:sz w:val="32"/>
          <w:szCs w:val="32"/>
        </w:rPr>
      </w:pPr>
      <w:r>
        <w:rPr>
          <w:rFonts w:hint="eastAsia" w:ascii="仿宋_GB2312" w:eastAsia="仿宋_GB2312" w:cs="Times New Roman"/>
          <w:sz w:val="32"/>
          <w:szCs w:val="32"/>
          <w:lang w:val="en-US" w:eastAsia="zh-CN"/>
        </w:rPr>
        <w:t>25</w:t>
      </w:r>
      <w:r>
        <w:rPr>
          <w:rFonts w:ascii="仿宋_GB2312" w:eastAsia="仿宋_GB2312" w:cs="Times New Roman"/>
          <w:sz w:val="32"/>
          <w:szCs w:val="32"/>
        </w:rPr>
        <w:t>. 公益文化经费绩效目标表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9"/>
        <w:gridCol w:w="2127"/>
        <w:gridCol w:w="3349"/>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bCs/>
              </w:rPr>
            </w:pPr>
            <w:r>
              <w:rPr>
                <w:rFonts w:ascii="Times New Roman" w:hAnsi="Times New Roman" w:eastAsia="仿宋_GB2312" w:cs="Times New Roman"/>
                <w:b/>
                <w:bCs/>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bCs/>
                <w:lang w:val="uk-UA"/>
              </w:rPr>
            </w:pPr>
            <w:r>
              <w:rPr>
                <w:rFonts w:ascii="Times New Roman" w:hAnsi="Times New Roman" w:eastAsia="仿宋_GB2312" w:cs="Times New Roman"/>
                <w:b/>
                <w:bCs/>
              </w:rPr>
              <w:t>通过开展阅读推广活动，传播文化知识，满足大众文化提升需求。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一级指标</w:t>
            </w:r>
          </w:p>
        </w:tc>
        <w:tc>
          <w:tcPr>
            <w:tcW w:w="217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212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34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2127"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活动场次</w:t>
            </w:r>
          </w:p>
        </w:tc>
        <w:tc>
          <w:tcPr>
            <w:tcW w:w="334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全年按计划完成活动场次</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≥40场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根据往年依据参考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2127"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活动参与率</w:t>
            </w:r>
          </w:p>
        </w:tc>
        <w:tc>
          <w:tcPr>
            <w:tcW w:w="334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活动读者报名参与情况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2127"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活动资金支出使用</w:t>
            </w:r>
          </w:p>
        </w:tc>
        <w:tc>
          <w:tcPr>
            <w:tcW w:w="334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年度资金支出使用时限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≤12月</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预算编制要求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2127"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文献成本</w:t>
            </w:r>
          </w:p>
        </w:tc>
        <w:tc>
          <w:tcPr>
            <w:tcW w:w="334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单本文献价格</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≤30元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127"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活动知晓人数</w:t>
            </w:r>
          </w:p>
        </w:tc>
        <w:tc>
          <w:tcPr>
            <w:tcW w:w="334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年度活动报名人数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≥2000人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127"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参与活动群众满意度</w:t>
            </w:r>
          </w:p>
        </w:tc>
        <w:tc>
          <w:tcPr>
            <w:tcW w:w="334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参与活动群众对活动开展情况满意度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读者活动满意度反馈表</w:t>
            </w:r>
          </w:p>
        </w:tc>
      </w:tr>
    </w:tbl>
    <w:p>
      <w:pPr>
        <w:ind w:firstLine="640" w:firstLineChars="200"/>
        <w:jc w:val="left"/>
        <w:outlineLvl w:val="1"/>
        <w:rPr>
          <w:rFonts w:ascii="仿宋_GB2312" w:eastAsia="仿宋_GB2312" w:cs="Times New Roman"/>
          <w:sz w:val="32"/>
          <w:szCs w:val="32"/>
        </w:rPr>
      </w:pPr>
      <w:r>
        <w:rPr>
          <w:rFonts w:hint="eastAsia" w:ascii="仿宋_GB2312" w:eastAsia="仿宋_GB2312" w:cs="Times New Roman"/>
          <w:sz w:val="32"/>
          <w:szCs w:val="32"/>
          <w:lang w:val="en-US" w:eastAsia="zh-CN"/>
        </w:rPr>
        <w:t>26</w:t>
      </w:r>
      <w:r>
        <w:rPr>
          <w:rFonts w:ascii="仿宋_GB2312" w:eastAsia="仿宋_GB2312" w:cs="Times New Roman"/>
          <w:sz w:val="32"/>
          <w:szCs w:val="32"/>
        </w:rPr>
        <w:t>.</w:t>
      </w:r>
      <w:r>
        <w:rPr>
          <w:rFonts w:hint="eastAsia" w:ascii="仿宋_GB2312" w:eastAsia="仿宋_GB2312" w:cs="Times New Roman"/>
          <w:sz w:val="32"/>
          <w:szCs w:val="32"/>
        </w:rPr>
        <w:t>综合管理经费</w:t>
      </w:r>
      <w:r>
        <w:rPr>
          <w:rFonts w:ascii="仿宋_GB2312" w:eastAsia="仿宋_GB2312" w:cs="Times New Roman"/>
          <w:sz w:val="32"/>
          <w:szCs w:val="32"/>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lang w:val="uk-UA"/>
              </w:rPr>
            </w:pPr>
            <w:r>
              <w:rPr>
                <w:rFonts w:ascii="Times New Roman" w:hAnsi="Times New Roman" w:eastAsia="仿宋_GB2312" w:cs="Times New Roman"/>
                <w:b/>
                <w:bCs/>
              </w:rPr>
              <w:t>通过每月按时发放员工工资，提高员工的安全保障机制，达到保障馆内正常运转的目的。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工资发放人数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发放工资人数情况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≤21人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市政府督查室585和255号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工资发放率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资金发放情况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工资发放及时性</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工资发放时效</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成本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月度人员保障经费成本</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≤71298元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保障正常运转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正常运转情况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有效保障</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出勤表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工作人员满意度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工资发放人员满意度情况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&gt;=90%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考核表</w:t>
            </w:r>
          </w:p>
        </w:tc>
      </w:tr>
    </w:tbl>
    <w:p>
      <w:pPr>
        <w:ind w:firstLine="640" w:firstLineChars="200"/>
        <w:jc w:val="left"/>
        <w:outlineLvl w:val="1"/>
        <w:rPr>
          <w:rFonts w:ascii="仿宋_GB2312" w:eastAsia="仿宋_GB2312" w:cs="Times New Roman"/>
          <w:sz w:val="32"/>
          <w:szCs w:val="32"/>
        </w:rPr>
      </w:pPr>
      <w:r>
        <w:rPr>
          <w:rFonts w:hint="eastAsia" w:ascii="仿宋_GB2312" w:eastAsia="仿宋_GB2312" w:cs="Times New Roman"/>
          <w:sz w:val="32"/>
          <w:szCs w:val="32"/>
          <w:lang w:val="en-US" w:eastAsia="zh-CN"/>
        </w:rPr>
        <w:t>27</w:t>
      </w:r>
      <w:r>
        <w:rPr>
          <w:rFonts w:ascii="仿宋_GB2312" w:eastAsia="仿宋_GB2312" w:cs="Times New Roman"/>
          <w:sz w:val="32"/>
          <w:szCs w:val="32"/>
        </w:rPr>
        <w:t>.</w:t>
      </w:r>
      <w:r>
        <w:rPr>
          <w:rFonts w:hint="eastAsia" w:ascii="仿宋_GB2312" w:eastAsia="仿宋_GB2312" w:cs="Times New Roman"/>
          <w:sz w:val="32"/>
          <w:szCs w:val="32"/>
        </w:rPr>
        <w:t>内部设施设备软硬件购置经费</w:t>
      </w:r>
      <w:r>
        <w:rPr>
          <w:rFonts w:ascii="仿宋_GB2312" w:eastAsia="仿宋_GB2312" w:cs="Times New Roman"/>
          <w:sz w:val="32"/>
          <w:szCs w:val="32"/>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2268"/>
        <w:gridCol w:w="2641"/>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绩效目标</w:t>
            </w:r>
          </w:p>
        </w:tc>
        <w:tc>
          <w:tcPr>
            <w:tcW w:w="12309" w:type="dxa"/>
            <w:gridSpan w:val="5"/>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b/>
                <w:bCs/>
              </w:rPr>
              <w:t>提高数字资源的普及，通过各种数据平台使用，使读者动过多种渠道获取图书资源。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264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2641"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系统更新数字资源数量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馆内系统更新数字资源情况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&gt;=8</w:t>
            </w:r>
            <w:r>
              <w:rPr>
                <w:rFonts w:hint="eastAsia" w:ascii="Times New Roman" w:hAnsi="Times New Roman" w:eastAsia="仿宋_GB2312" w:cs="Times New Roman"/>
              </w:rPr>
              <w:t>个</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图书馆评估标准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2641"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数字资源正常运转率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数字资源正常运转情况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平台运转记录表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2641"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数字资源购买及时性</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数字资源购买情况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参照往年执行情况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2641"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服务续保单位成本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馆内服务器单位续保费用</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≥1.15万元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2641"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公众账号阅读量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馆内网站阅读情况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≥5000次</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平台数据统计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2641"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平台读者访问的满意度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读者对平台访问的满意度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&gt;=90%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问卷调查表</w:t>
            </w:r>
          </w:p>
        </w:tc>
      </w:tr>
    </w:tbl>
    <w:p>
      <w:pPr>
        <w:ind w:firstLine="640" w:firstLineChars="200"/>
        <w:jc w:val="left"/>
        <w:outlineLvl w:val="1"/>
        <w:rPr>
          <w:rFonts w:ascii="仿宋_GB2312" w:eastAsia="仿宋_GB2312" w:cs="Times New Roman"/>
          <w:sz w:val="32"/>
          <w:szCs w:val="32"/>
        </w:rPr>
      </w:pPr>
      <w:r>
        <w:rPr>
          <w:rFonts w:hint="eastAsia" w:ascii="仿宋_GB2312" w:eastAsia="仿宋_GB2312" w:cs="Times New Roman"/>
          <w:sz w:val="32"/>
          <w:szCs w:val="32"/>
          <w:lang w:val="en-US" w:eastAsia="zh-CN"/>
        </w:rPr>
        <w:t>28</w:t>
      </w:r>
      <w:r>
        <w:rPr>
          <w:rFonts w:ascii="仿宋_GB2312" w:eastAsia="仿宋_GB2312" w:cs="Times New Roman"/>
          <w:sz w:val="32"/>
          <w:szCs w:val="32"/>
        </w:rPr>
        <w:t>.</w:t>
      </w:r>
      <w:r>
        <w:rPr>
          <w:rFonts w:hint="eastAsia" w:ascii="仿宋_GB2312" w:eastAsia="仿宋_GB2312" w:cs="Times New Roman"/>
          <w:sz w:val="32"/>
          <w:szCs w:val="32"/>
        </w:rPr>
        <w:t>图书流动服务车经费</w:t>
      </w:r>
      <w:r>
        <w:rPr>
          <w:rFonts w:ascii="仿宋_GB2312" w:eastAsia="仿宋_GB2312" w:cs="Times New Roman"/>
          <w:sz w:val="32"/>
          <w:szCs w:val="32"/>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2924"/>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绩效目标</w:t>
            </w:r>
          </w:p>
        </w:tc>
        <w:tc>
          <w:tcPr>
            <w:tcW w:w="12309" w:type="dxa"/>
            <w:gridSpan w:val="5"/>
            <w:shd w:val="clear" w:color="auto" w:fill="auto"/>
            <w:vAlign w:val="center"/>
          </w:tcPr>
          <w:p>
            <w:pPr>
              <w:spacing w:line="300" w:lineRule="exact"/>
              <w:jc w:val="both"/>
              <w:rPr>
                <w:rFonts w:ascii="Times New Roman" w:hAnsi="Times New Roman" w:eastAsia="仿宋_GB2312" w:cs="Times New Roman"/>
              </w:rPr>
            </w:pPr>
            <w:r>
              <w:rPr>
                <w:rFonts w:hint="eastAsia" w:ascii="Times New Roman" w:hAnsi="Times New Roman" w:eastAsia="仿宋_GB2312" w:cs="Times New Roman"/>
                <w:b/>
                <w:bCs/>
              </w:rPr>
              <w:t>开展流动服务，争取流动服务进社区、乡镇、农村。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一级指标</w:t>
            </w:r>
          </w:p>
        </w:tc>
        <w:tc>
          <w:tcPr>
            <w:tcW w:w="292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924"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流动服务次数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全年流动次数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≥30次</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河北省基本公共文化服务实施标准（2016-2020）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924"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车辆正常运转率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流动服务车辆正常运转率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车辆使用登记表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924"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lang w:val="uk-UA"/>
              </w:rPr>
            </w:pPr>
            <w:r>
              <w:rPr>
                <w:rFonts w:ascii="Times New Roman" w:hAnsi="Times New Roman" w:eastAsia="仿宋_GB2312" w:cs="Times New Roman"/>
              </w:rPr>
              <w:t>资金使用支出情况</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年度资金使用支出时限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≤12月</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年度预算要求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924"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流动服务成本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每次下乡流动服务成本</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≤250元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924"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流动覆盖率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镇级流动文化覆盖率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&gt;=80%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年度流动服务记录表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924"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服务群众对工作人员服务态度、服务质量的满意度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&gt;=90%</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根据往年开展流动服务次数数据</w:t>
            </w:r>
          </w:p>
        </w:tc>
      </w:tr>
    </w:tbl>
    <w:p>
      <w:pPr>
        <w:autoSpaceDE w:val="0"/>
        <w:autoSpaceDN w:val="0"/>
        <w:adjustRightInd w:val="0"/>
        <w:spacing w:line="584" w:lineRule="exact"/>
        <w:jc w:val="left"/>
        <w:rPr>
          <w:rFonts w:ascii="Times New Roman" w:hAnsi="Times New Roman"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部门</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部门</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lang w:eastAsia="zh-CN"/>
        </w:rPr>
        <w:t>三河</w:t>
      </w:r>
      <w:r>
        <w:t>市</w:t>
      </w:r>
      <w:r>
        <w:rPr>
          <w:rFonts w:hint="eastAsia"/>
          <w:lang w:eastAsia="zh-CN"/>
        </w:rPr>
        <w:t>文化广电和旅游局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部门</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rPr>
                <w:rFonts w:hint="eastAsia" w:eastAsia="方正书宋_GBK"/>
                <w:lang w:val="en-US" w:eastAsia="zh-CN"/>
              </w:rPr>
            </w:pPr>
            <w:r>
              <w:rPr>
                <w:rFonts w:hint="eastAsia"/>
                <w:lang w:val="en-US" w:eastAsia="zh-CN"/>
              </w:rPr>
              <w:t>0</w:t>
            </w: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7861.19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hint="eastAsia"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部门</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文化广电和旅游局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7861.19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3012.5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156.63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75.96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3275.03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3993.57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BiYjMxOWFiYmM0NzVhMjYxMGNiMzA1ZGE0Zjc3MjQifQ=="/>
  </w:docVars>
  <w:rsids>
    <w:rsidRoot w:val="00D347CC"/>
    <w:rsid w:val="000230E6"/>
    <w:rsid w:val="000E5891"/>
    <w:rsid w:val="0025632D"/>
    <w:rsid w:val="004A54AA"/>
    <w:rsid w:val="005A2FBD"/>
    <w:rsid w:val="0078768E"/>
    <w:rsid w:val="00875CF4"/>
    <w:rsid w:val="00944233"/>
    <w:rsid w:val="00B40732"/>
    <w:rsid w:val="00B80935"/>
    <w:rsid w:val="00D347CC"/>
    <w:rsid w:val="06C479F6"/>
    <w:rsid w:val="08C1268B"/>
    <w:rsid w:val="0AF314E7"/>
    <w:rsid w:val="0E1F739B"/>
    <w:rsid w:val="0F747DA0"/>
    <w:rsid w:val="16216815"/>
    <w:rsid w:val="17911818"/>
    <w:rsid w:val="1A811E86"/>
    <w:rsid w:val="1E0D0BCE"/>
    <w:rsid w:val="22135306"/>
    <w:rsid w:val="23FE1BC6"/>
    <w:rsid w:val="24C904FA"/>
    <w:rsid w:val="26342C28"/>
    <w:rsid w:val="26BC0611"/>
    <w:rsid w:val="2B116D24"/>
    <w:rsid w:val="2C6362A2"/>
    <w:rsid w:val="2D4259EB"/>
    <w:rsid w:val="324F1218"/>
    <w:rsid w:val="33EF129B"/>
    <w:rsid w:val="354C678F"/>
    <w:rsid w:val="355B2B39"/>
    <w:rsid w:val="36823FCB"/>
    <w:rsid w:val="39952BCD"/>
    <w:rsid w:val="3C526ABC"/>
    <w:rsid w:val="43073321"/>
    <w:rsid w:val="45132464"/>
    <w:rsid w:val="46EC5EEC"/>
    <w:rsid w:val="470942F1"/>
    <w:rsid w:val="4C093134"/>
    <w:rsid w:val="4CCC3D4E"/>
    <w:rsid w:val="4F4E460C"/>
    <w:rsid w:val="539E6026"/>
    <w:rsid w:val="56983779"/>
    <w:rsid w:val="57FF3192"/>
    <w:rsid w:val="588A1162"/>
    <w:rsid w:val="5D12458A"/>
    <w:rsid w:val="5F2B73A1"/>
    <w:rsid w:val="607F78CF"/>
    <w:rsid w:val="60F927E9"/>
    <w:rsid w:val="66253BFA"/>
    <w:rsid w:val="66B51D15"/>
    <w:rsid w:val="69646E07"/>
    <w:rsid w:val="6A67021A"/>
    <w:rsid w:val="6E4F7E03"/>
    <w:rsid w:val="727D1870"/>
    <w:rsid w:val="7ADB680C"/>
    <w:rsid w:val="7C2473AB"/>
    <w:rsid w:val="7D8530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beforeLines="0" w:after="0" w:afterLines="0" w:line="500" w:lineRule="exact"/>
      <w:ind w:firstLine="560"/>
      <w:jc w:val="left"/>
      <w:outlineLvl w:val="9"/>
    </w:pPr>
    <w:rPr>
      <w:sz w:val="28"/>
    </w:rPr>
  </w:style>
  <w:style w:type="paragraph" w:customStyle="1" w:styleId="20">
    <w:name w:val="插入文本样式-插入职责分类绩效目标文件"/>
    <w:basedOn w:val="1"/>
    <w:qFormat/>
    <w:uiPriority w:val="0"/>
    <w:pPr>
      <w:spacing w:before="0" w:beforeLines="0" w:after="0" w:afterLines="0" w:line="500" w:lineRule="exact"/>
      <w:ind w:firstLine="560"/>
      <w:jc w:val="left"/>
      <w:outlineLvl w:val="9"/>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27</TotalTime>
  <ScaleCrop>false</ScaleCrop>
  <LinksUpToDate>false</LinksUpToDate>
  <CharactersWithSpaces>3370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Misss~R</cp:lastModifiedBy>
  <cp:lastPrinted>2022-03-02T06:21:00Z</cp:lastPrinted>
  <dcterms:modified xsi:type="dcterms:W3CDTF">2023-10-09T13:29:26Z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4E44EDF0EF9F46F78136DEDCDFA20100</vt:lpwstr>
  </property>
</Properties>
</file>